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CE5D0B" w14:textId="739571C8" w:rsidR="0017203C" w:rsidRPr="006568E3" w:rsidRDefault="00FB4806" w:rsidP="00430992">
      <w:pPr>
        <w:spacing w:before="240"/>
        <w:outlineLvl w:val="0"/>
        <w:rPr>
          <w:rFonts w:asciiTheme="minorBidi" w:hAnsiTheme="minorBidi" w:cstheme="minorBidi"/>
          <w:b/>
          <w:color w:val="000000" w:themeColor="text1"/>
          <w:sz w:val="60"/>
          <w:lang w:val="en-GB"/>
        </w:rPr>
      </w:pPr>
      <w:bookmarkStart w:id="0" w:name="Row_1_AML_Advanced"/>
      <w:r w:rsidRPr="006568E3">
        <w:rPr>
          <w:rFonts w:asciiTheme="minorBidi" w:hAnsiTheme="minorBidi" w:cstheme="minorBidi"/>
          <w:b/>
          <w:color w:val="000000" w:themeColor="text1"/>
          <w:sz w:val="60"/>
          <w:lang w:val="en-GB"/>
        </w:rPr>
        <w:t>Fifth Directive Changes</w:t>
      </w:r>
    </w:p>
    <w:p w14:paraId="10CCC52B" w14:textId="4E9C22C3" w:rsidR="0046096E" w:rsidRPr="00430992" w:rsidRDefault="00FB4806" w:rsidP="00430992">
      <w:pPr>
        <w:spacing w:before="240"/>
        <w:rPr>
          <w:rFonts w:asciiTheme="minorBidi" w:hAnsiTheme="minorBidi" w:cstheme="minorBidi"/>
          <w:color w:val="000000" w:themeColor="text1"/>
          <w:sz w:val="24"/>
          <w:szCs w:val="24"/>
          <w:lang w:val="en-GB"/>
        </w:rPr>
      </w:pPr>
      <w:r w:rsidRPr="00430992">
        <w:rPr>
          <w:rFonts w:asciiTheme="minorBidi" w:hAnsiTheme="minorBidi" w:cstheme="minorBidi"/>
          <w:color w:val="000000" w:themeColor="text1"/>
          <w:sz w:val="24"/>
          <w:szCs w:val="24"/>
          <w:lang w:val="en-GB"/>
        </w:rPr>
        <w:t>Below is a summary of changes made to VinciWorks</w:t>
      </w:r>
      <w:r w:rsidR="00E62773" w:rsidRPr="00430992">
        <w:rPr>
          <w:rFonts w:asciiTheme="minorBidi" w:hAnsiTheme="minorBidi" w:cstheme="minorBidi"/>
          <w:color w:val="000000" w:themeColor="text1"/>
          <w:sz w:val="24"/>
          <w:szCs w:val="24"/>
          <w:lang w:val="en-GB"/>
        </w:rPr>
        <w:t xml:space="preserve">’ anti-money laundering courses in line with the EU’s </w:t>
      </w:r>
      <w:r w:rsidR="00B90783" w:rsidRPr="00430992">
        <w:rPr>
          <w:rFonts w:asciiTheme="minorBidi" w:hAnsiTheme="minorBidi" w:cstheme="minorBidi"/>
          <w:color w:val="000000" w:themeColor="text1"/>
          <w:sz w:val="24"/>
          <w:szCs w:val="24"/>
          <w:lang w:val="en-GB"/>
        </w:rPr>
        <w:t>Fifth</w:t>
      </w:r>
      <w:r w:rsidR="00E62773" w:rsidRPr="00430992">
        <w:rPr>
          <w:rFonts w:asciiTheme="minorBidi" w:hAnsiTheme="minorBidi" w:cstheme="minorBidi"/>
          <w:color w:val="000000" w:themeColor="text1"/>
          <w:sz w:val="24"/>
          <w:szCs w:val="24"/>
          <w:lang w:val="en-GB"/>
        </w:rPr>
        <w:t xml:space="preserve"> Directive and the UK’s </w:t>
      </w:r>
      <w:r w:rsidR="0046096E" w:rsidRPr="00430992">
        <w:rPr>
          <w:rFonts w:asciiTheme="minorBidi" w:hAnsiTheme="minorBidi" w:cstheme="minorBidi"/>
          <w:color w:val="000000" w:themeColor="text1"/>
          <w:sz w:val="24"/>
          <w:szCs w:val="24"/>
          <w:lang w:val="en-GB"/>
        </w:rPr>
        <w:t>amendments</w:t>
      </w:r>
      <w:r w:rsidR="00E62773" w:rsidRPr="00430992">
        <w:rPr>
          <w:rFonts w:asciiTheme="minorBidi" w:hAnsiTheme="minorBidi" w:cstheme="minorBidi"/>
          <w:color w:val="000000" w:themeColor="text1"/>
          <w:sz w:val="24"/>
          <w:szCs w:val="24"/>
          <w:lang w:val="en-GB"/>
        </w:rPr>
        <w:t xml:space="preserve"> to the Money Laundering Regulations. </w:t>
      </w:r>
    </w:p>
    <w:p w14:paraId="762B1EC5" w14:textId="6B8E5692" w:rsidR="00533D1F" w:rsidRPr="00430992" w:rsidRDefault="0046096E" w:rsidP="00430992">
      <w:pPr>
        <w:spacing w:before="240"/>
        <w:rPr>
          <w:rFonts w:asciiTheme="minorBidi" w:hAnsiTheme="minorBidi" w:cstheme="minorBidi"/>
          <w:color w:val="000000" w:themeColor="text1"/>
          <w:sz w:val="24"/>
          <w:szCs w:val="24"/>
          <w:lang w:val="en-GB"/>
        </w:rPr>
      </w:pPr>
      <w:r w:rsidRPr="00430992">
        <w:rPr>
          <w:rFonts w:asciiTheme="minorBidi" w:hAnsiTheme="minorBidi" w:cstheme="minorBidi"/>
          <w:color w:val="000000" w:themeColor="text1"/>
          <w:sz w:val="24"/>
          <w:szCs w:val="24"/>
          <w:lang w:val="en-GB"/>
        </w:rPr>
        <w:t xml:space="preserve">These changes </w:t>
      </w:r>
      <w:r w:rsidR="00995222" w:rsidRPr="00430992">
        <w:rPr>
          <w:rFonts w:asciiTheme="minorBidi" w:hAnsiTheme="minorBidi" w:cstheme="minorBidi"/>
          <w:color w:val="000000" w:themeColor="text1"/>
          <w:sz w:val="24"/>
          <w:szCs w:val="24"/>
          <w:lang w:val="en-GB"/>
        </w:rPr>
        <w:t>were made after extensive review the Fifth Directive and UK law.</w:t>
      </w:r>
      <w:r w:rsidR="002E1A8A" w:rsidRPr="00430992">
        <w:rPr>
          <w:rFonts w:asciiTheme="minorBidi" w:hAnsiTheme="minorBidi" w:cstheme="minorBidi"/>
          <w:color w:val="000000" w:themeColor="text1"/>
          <w:sz w:val="24"/>
          <w:szCs w:val="24"/>
          <w:lang w:val="en-GB"/>
        </w:rPr>
        <w:t xml:space="preserve"> </w:t>
      </w:r>
      <w:r w:rsidR="00971A6F" w:rsidRPr="00430992">
        <w:rPr>
          <w:rFonts w:asciiTheme="minorBidi" w:hAnsiTheme="minorBidi" w:cstheme="minorBidi"/>
          <w:color w:val="000000" w:themeColor="text1"/>
          <w:sz w:val="24"/>
          <w:szCs w:val="24"/>
          <w:lang w:val="en-GB"/>
        </w:rPr>
        <w:t xml:space="preserve">The impact of the Fifth Directive on </w:t>
      </w:r>
      <w:r w:rsidR="00645380" w:rsidRPr="00430992">
        <w:rPr>
          <w:rFonts w:asciiTheme="minorBidi" w:hAnsiTheme="minorBidi" w:cstheme="minorBidi"/>
          <w:color w:val="000000" w:themeColor="text1"/>
          <w:sz w:val="24"/>
          <w:szCs w:val="24"/>
          <w:lang w:val="en-GB"/>
        </w:rPr>
        <w:t>organisations that are already in the regulated sector is minor.</w:t>
      </w:r>
    </w:p>
    <w:p w14:paraId="6AB71711" w14:textId="663A6D38" w:rsidR="00697071" w:rsidRPr="00430992" w:rsidRDefault="00533D1F" w:rsidP="00430992">
      <w:pPr>
        <w:spacing w:before="240"/>
        <w:rPr>
          <w:rFonts w:asciiTheme="minorBidi" w:hAnsiTheme="minorBidi" w:cstheme="minorBidi"/>
          <w:color w:val="000000" w:themeColor="text1"/>
          <w:sz w:val="24"/>
          <w:szCs w:val="24"/>
          <w:lang w:val="en-GB"/>
        </w:rPr>
      </w:pPr>
      <w:r w:rsidRPr="00430992">
        <w:rPr>
          <w:rFonts w:asciiTheme="minorBidi" w:hAnsiTheme="minorBidi" w:cstheme="minorBidi"/>
          <w:color w:val="000000" w:themeColor="text1"/>
          <w:sz w:val="24"/>
          <w:szCs w:val="24"/>
          <w:lang w:val="en-GB"/>
        </w:rPr>
        <w:t>The changes listed in the document are additions to the courses, nothing was removed.</w:t>
      </w:r>
    </w:p>
    <w:p w14:paraId="2EF33CE0" w14:textId="6B84F1BA" w:rsidR="0046096E" w:rsidRPr="00430992" w:rsidRDefault="00697071" w:rsidP="00430992">
      <w:pPr>
        <w:spacing w:before="240"/>
        <w:rPr>
          <w:rFonts w:asciiTheme="minorBidi" w:hAnsiTheme="minorBidi" w:cstheme="minorBidi"/>
          <w:color w:val="000000" w:themeColor="text1"/>
          <w:sz w:val="24"/>
          <w:szCs w:val="24"/>
          <w:lang w:val="en-GB"/>
        </w:rPr>
      </w:pPr>
      <w:r w:rsidRPr="00430992">
        <w:rPr>
          <w:rFonts w:asciiTheme="minorBidi" w:hAnsiTheme="minorBidi" w:cstheme="minorBidi"/>
          <w:color w:val="000000" w:themeColor="text1"/>
          <w:sz w:val="24"/>
          <w:szCs w:val="24"/>
          <w:lang w:val="en-GB"/>
        </w:rPr>
        <w:t xml:space="preserve">The list of changes below </w:t>
      </w:r>
      <w:r w:rsidR="00C45790" w:rsidRPr="00430992">
        <w:rPr>
          <w:rFonts w:asciiTheme="minorBidi" w:hAnsiTheme="minorBidi" w:cstheme="minorBidi"/>
          <w:color w:val="000000" w:themeColor="text1"/>
          <w:sz w:val="24"/>
          <w:szCs w:val="24"/>
          <w:lang w:val="en-GB"/>
        </w:rPr>
        <w:t>does</w:t>
      </w:r>
      <w:r w:rsidRPr="00430992">
        <w:rPr>
          <w:rFonts w:asciiTheme="minorBidi" w:hAnsiTheme="minorBidi" w:cstheme="minorBidi"/>
          <w:color w:val="000000" w:themeColor="text1"/>
          <w:sz w:val="24"/>
          <w:szCs w:val="24"/>
          <w:lang w:val="en-GB"/>
        </w:rPr>
        <w:t xml:space="preserve"> not include small textual changes, such as updates to names of laws and regulations</w:t>
      </w:r>
      <w:r w:rsidR="006568E3" w:rsidRPr="00430992">
        <w:rPr>
          <w:rFonts w:asciiTheme="minorBidi" w:hAnsiTheme="minorBidi" w:cstheme="minorBidi"/>
          <w:color w:val="000000" w:themeColor="text1"/>
          <w:sz w:val="24"/>
          <w:szCs w:val="24"/>
          <w:lang w:val="en-GB"/>
        </w:rPr>
        <w:t>. It includes all material updates made to the courses.</w:t>
      </w:r>
    </w:p>
    <w:p w14:paraId="473B021D" w14:textId="352A32FF" w:rsidR="00FB4806" w:rsidRPr="00430992" w:rsidRDefault="00E62773" w:rsidP="00430992">
      <w:pPr>
        <w:spacing w:before="240"/>
        <w:rPr>
          <w:rFonts w:asciiTheme="minorBidi" w:hAnsiTheme="minorBidi" w:cstheme="minorBidi"/>
          <w:color w:val="000000" w:themeColor="text1"/>
          <w:sz w:val="24"/>
          <w:szCs w:val="24"/>
          <w:lang w:val="en-GB"/>
        </w:rPr>
      </w:pPr>
      <w:r w:rsidRPr="00430992">
        <w:rPr>
          <w:rFonts w:asciiTheme="minorBidi" w:hAnsiTheme="minorBidi" w:cstheme="minorBidi"/>
          <w:color w:val="000000" w:themeColor="text1"/>
          <w:sz w:val="24"/>
          <w:szCs w:val="24"/>
          <w:lang w:val="en-GB"/>
        </w:rPr>
        <w:t>Brexit will not affect these regulations.</w:t>
      </w:r>
    </w:p>
    <w:p w14:paraId="616856BB" w14:textId="77777777" w:rsidR="00C45790" w:rsidRDefault="00C45790" w:rsidP="00430992">
      <w:pPr>
        <w:spacing w:before="240" w:line="240" w:lineRule="auto"/>
        <w:rPr>
          <w:rFonts w:asciiTheme="minorBidi" w:hAnsiTheme="minorBidi" w:cstheme="minorBidi"/>
          <w:b/>
          <w:color w:val="000000" w:themeColor="text1"/>
          <w:sz w:val="60"/>
          <w:lang w:val="en-GB"/>
        </w:rPr>
      </w:pPr>
      <w:r>
        <w:rPr>
          <w:rFonts w:asciiTheme="minorBidi" w:hAnsiTheme="minorBidi" w:cstheme="minorBidi"/>
          <w:b/>
          <w:color w:val="000000" w:themeColor="text1"/>
          <w:sz w:val="60"/>
          <w:lang w:val="en-GB"/>
        </w:rPr>
        <w:br w:type="page"/>
      </w:r>
    </w:p>
    <w:p w14:paraId="5198F86B" w14:textId="76BA3AA2" w:rsidR="00AA307A" w:rsidRPr="006568E3" w:rsidRDefault="00BB159A" w:rsidP="00430992">
      <w:pPr>
        <w:spacing w:before="240"/>
        <w:outlineLvl w:val="0"/>
        <w:rPr>
          <w:rFonts w:asciiTheme="minorBidi" w:hAnsiTheme="minorBidi" w:cstheme="minorBidi"/>
          <w:b/>
          <w:color w:val="000000" w:themeColor="text1"/>
          <w:sz w:val="60"/>
          <w:lang w:val="en-GB"/>
        </w:rPr>
      </w:pPr>
      <w:r w:rsidRPr="006568E3">
        <w:rPr>
          <w:rFonts w:asciiTheme="minorBidi" w:hAnsiTheme="minorBidi" w:cstheme="minorBidi"/>
          <w:b/>
          <w:color w:val="000000" w:themeColor="text1"/>
          <w:sz w:val="60"/>
          <w:lang w:val="en-GB"/>
        </w:rPr>
        <w:lastRenderedPageBreak/>
        <w:t>AML Advanced</w:t>
      </w:r>
      <w:bookmarkEnd w:id="0"/>
    </w:p>
    <w:p w14:paraId="5198F86C" w14:textId="77777777" w:rsidR="00AA307A" w:rsidRPr="006568E3" w:rsidRDefault="00BB159A" w:rsidP="00430992">
      <w:pPr>
        <w:pStyle w:val="Heading2"/>
        <w:spacing w:before="240"/>
        <w:ind w:left="0"/>
        <w:rPr>
          <w:rFonts w:asciiTheme="minorBidi" w:hAnsiTheme="minorBidi" w:cstheme="minorBidi"/>
          <w:color w:val="000000" w:themeColor="text1"/>
          <w:lang w:val="en-GB"/>
        </w:rPr>
      </w:pPr>
      <w:bookmarkStart w:id="1" w:name="Row_2_MODULE_3_CLIENT_DUE_DILIGENCE_"/>
      <w:r w:rsidRPr="006568E3">
        <w:rPr>
          <w:rFonts w:asciiTheme="minorBidi" w:hAnsiTheme="minorBidi" w:cstheme="minorBidi"/>
          <w:color w:val="000000" w:themeColor="text1"/>
          <w:lang w:val="en-GB"/>
        </w:rPr>
        <w:t>MODULE 3 CLIENT DUE DILIGENCE MEASURES</w:t>
      </w:r>
      <w:bookmarkEnd w:id="1"/>
    </w:p>
    <w:p w14:paraId="5198F86D" w14:textId="77777777" w:rsidR="00AA307A" w:rsidRPr="006568E3" w:rsidRDefault="00BB159A" w:rsidP="00430992">
      <w:pPr>
        <w:pStyle w:val="Heading3"/>
        <w:ind w:left="0"/>
        <w:rPr>
          <w:lang w:val="en-GB"/>
        </w:rPr>
      </w:pPr>
      <w:bookmarkStart w:id="2" w:name="Row_3_LESSON_1_UNDERSTANDING_CDD"/>
      <w:r w:rsidRPr="006568E3">
        <w:rPr>
          <w:lang w:val="en-GB"/>
        </w:rPr>
        <w:t>LESSON 1 UNDERSTANDING CDD</w:t>
      </w:r>
      <w:bookmarkEnd w:id="2"/>
    </w:p>
    <w:p w14:paraId="5198F86E" w14:textId="77777777" w:rsidR="00AA307A" w:rsidRPr="006568E3" w:rsidRDefault="00BB159A" w:rsidP="00430992">
      <w:pPr>
        <w:pStyle w:val="Heading4"/>
        <w:spacing w:before="240"/>
        <w:ind w:left="0"/>
        <w:rPr>
          <w:lang w:val="en-GB"/>
        </w:rPr>
      </w:pPr>
      <w:bookmarkStart w:id="3" w:name="Row_4_Verifying_Identify"/>
      <w:r w:rsidRPr="006568E3">
        <w:rPr>
          <w:lang w:val="en-GB"/>
        </w:rPr>
        <w:t>Verifying Identify</w:t>
      </w:r>
      <w:bookmarkEnd w:id="3"/>
    </w:p>
    <w:p w14:paraId="5198F870" w14:textId="7BE5C16F" w:rsidR="00AA307A" w:rsidRPr="006568E3" w:rsidRDefault="00BB159A" w:rsidP="00430992">
      <w:pPr>
        <w:pStyle w:val="NoteText"/>
        <w:spacing w:before="240"/>
        <w:ind w:left="0"/>
        <w:rPr>
          <w:lang w:val="en-GB"/>
        </w:rPr>
      </w:pPr>
      <w:r w:rsidRPr="006568E3">
        <w:rPr>
          <w:lang w:val="en-GB"/>
        </w:rPr>
        <w:t xml:space="preserve">The Fifth Directive introduces changes to the requirements for obliged entities on verifying the identities of customers or beneficial owners. Relevant persons must comply with and verify the identity of the customer, any person purporting to act on behalf of the customer and any beneficial owner of the customer when entering into a business relationship. Remote or electronic identification processes; regulated, recognised, approved or accepted at national level by the national competent authority may be </w:t>
      </w:r>
      <w:proofErr w:type="gramStart"/>
      <w:r w:rsidRPr="006568E3">
        <w:rPr>
          <w:lang w:val="en-GB"/>
        </w:rPr>
        <w:t>taken into account</w:t>
      </w:r>
      <w:proofErr w:type="gramEnd"/>
      <w:r w:rsidRPr="006568E3">
        <w:rPr>
          <w:lang w:val="en-GB"/>
        </w:rPr>
        <w:t>.</w:t>
      </w:r>
    </w:p>
    <w:p w14:paraId="5198F872" w14:textId="383AC72C" w:rsidR="00AA307A" w:rsidRPr="006568E3" w:rsidRDefault="00BB159A" w:rsidP="00430992">
      <w:pPr>
        <w:pStyle w:val="NoteText"/>
        <w:spacing w:before="240"/>
        <w:ind w:left="0"/>
        <w:rPr>
          <w:lang w:val="en-GB"/>
        </w:rPr>
      </w:pPr>
      <w:r w:rsidRPr="006568E3">
        <w:rPr>
          <w:lang w:val="en-GB"/>
        </w:rPr>
        <w:t>The Fifth Directive also requires obliged entities to apply CDD when they have any legal duty in a calendar year to contact the customer for reviewing their relevant beneficial ownership information.</w:t>
      </w:r>
    </w:p>
    <w:p w14:paraId="5198F873" w14:textId="77777777" w:rsidR="00AA307A" w:rsidRPr="006568E3" w:rsidRDefault="00BB159A" w:rsidP="00430992">
      <w:pPr>
        <w:pStyle w:val="NoteText"/>
        <w:spacing w:before="240"/>
        <w:ind w:left="0"/>
        <w:rPr>
          <w:lang w:val="en-GB"/>
        </w:rPr>
      </w:pPr>
      <w:r w:rsidRPr="006568E3">
        <w:rPr>
          <w:lang w:val="en-GB"/>
        </w:rPr>
        <w:t>The Fifth Directive does not allow any automatic departure from CDD requirements, based on customer type alone. Instead, firms will be able to adjust the extent of CDD measures where a business relationship / transaction is determined to present a lower risk of money laundering.</w:t>
      </w:r>
    </w:p>
    <w:p w14:paraId="5198F874" w14:textId="77777777" w:rsidR="00AA307A" w:rsidRPr="006568E3" w:rsidRDefault="00BB159A" w:rsidP="00430992">
      <w:pPr>
        <w:pStyle w:val="Heading3"/>
        <w:ind w:left="0"/>
        <w:rPr>
          <w:lang w:val="en-GB"/>
        </w:rPr>
      </w:pPr>
      <w:bookmarkStart w:id="4" w:name="Row_5_LESSON_3_SIMPLIFIED_AND_ENHANC"/>
      <w:r w:rsidRPr="006568E3">
        <w:rPr>
          <w:lang w:val="en-GB"/>
        </w:rPr>
        <w:t>LESSON 3 SIMPLIFIED AND ENHANCED DUE DILIGENCE</w:t>
      </w:r>
      <w:bookmarkEnd w:id="4"/>
    </w:p>
    <w:p w14:paraId="5198F875" w14:textId="77777777" w:rsidR="00AA307A" w:rsidRPr="006568E3" w:rsidRDefault="00BB159A" w:rsidP="00430992">
      <w:pPr>
        <w:pStyle w:val="Heading4"/>
        <w:spacing w:before="240"/>
        <w:ind w:left="0"/>
        <w:rPr>
          <w:lang w:val="en-GB"/>
        </w:rPr>
      </w:pPr>
      <w:bookmarkStart w:id="5" w:name="Row_6_Enhanced_due_diligence"/>
      <w:r w:rsidRPr="006568E3">
        <w:rPr>
          <w:lang w:val="en-GB"/>
        </w:rPr>
        <w:t>Enhanced due diligence</w:t>
      </w:r>
      <w:bookmarkEnd w:id="5"/>
    </w:p>
    <w:p w14:paraId="5198F877" w14:textId="6487E8CF" w:rsidR="00AA307A" w:rsidRPr="006568E3" w:rsidRDefault="00BB159A" w:rsidP="00430992">
      <w:pPr>
        <w:pStyle w:val="NoteText"/>
        <w:spacing w:before="240"/>
        <w:ind w:left="0"/>
        <w:rPr>
          <w:lang w:val="en-GB"/>
        </w:rPr>
      </w:pPr>
      <w:r w:rsidRPr="006568E3">
        <w:rPr>
          <w:lang w:val="en-GB"/>
        </w:rPr>
        <w:t>Enhanced due diligence measures include obtaining information on the customer, beneficial owner, intended nature of the business relationship, source of funds, source of wealth of the customer and beneficial owner and reasons for intended or performed transactions. </w:t>
      </w:r>
    </w:p>
    <w:p w14:paraId="5198F879" w14:textId="4CFB3F17" w:rsidR="00AA307A" w:rsidRPr="006568E3" w:rsidRDefault="00BB159A" w:rsidP="00430992">
      <w:pPr>
        <w:pStyle w:val="NoteText"/>
        <w:spacing w:before="240"/>
        <w:ind w:left="0"/>
        <w:rPr>
          <w:lang w:val="en-GB"/>
        </w:rPr>
      </w:pPr>
      <w:r w:rsidRPr="006568E3">
        <w:rPr>
          <w:lang w:val="en-GB"/>
        </w:rPr>
        <w:t>The Fifth Directive adds to the existing list of "higher risk situations" which require the application of EDD to include transactions relating to:</w:t>
      </w:r>
    </w:p>
    <w:p w14:paraId="5198F87A" w14:textId="77777777" w:rsidR="00AA307A" w:rsidRPr="006568E3" w:rsidRDefault="00BB159A" w:rsidP="00430992">
      <w:pPr>
        <w:pStyle w:val="NoteText"/>
        <w:spacing w:before="240"/>
        <w:ind w:left="0"/>
        <w:rPr>
          <w:lang w:val="en-GB"/>
        </w:rPr>
      </w:pPr>
      <w:r w:rsidRPr="006568E3">
        <w:rPr>
          <w:lang w:val="en-GB"/>
        </w:rPr>
        <w:t>“cultural artefacts and other items of archaeological, historical, cultural and religious importance, or of rare scientific value, as well as ivory and protected species.”</w:t>
      </w:r>
    </w:p>
    <w:p w14:paraId="5198F87B" w14:textId="77777777" w:rsidR="00AA307A" w:rsidRPr="006568E3" w:rsidRDefault="00BB159A" w:rsidP="00430992">
      <w:pPr>
        <w:pStyle w:val="Heading4"/>
        <w:spacing w:before="240"/>
        <w:ind w:left="0"/>
        <w:rPr>
          <w:lang w:val="en-GB"/>
        </w:rPr>
      </w:pPr>
      <w:bookmarkStart w:id="6" w:name="Row_7_Country_due_diligence"/>
      <w:r w:rsidRPr="006568E3">
        <w:rPr>
          <w:lang w:val="en-GB"/>
        </w:rPr>
        <w:t>Country due diligence</w:t>
      </w:r>
      <w:bookmarkEnd w:id="6"/>
    </w:p>
    <w:p w14:paraId="5198F87C" w14:textId="77777777" w:rsidR="00AA307A" w:rsidRPr="006568E3" w:rsidRDefault="00BB159A" w:rsidP="00430992">
      <w:pPr>
        <w:pStyle w:val="NoteText"/>
        <w:spacing w:before="240"/>
        <w:ind w:left="0"/>
        <w:rPr>
          <w:lang w:val="en-GB"/>
        </w:rPr>
      </w:pPr>
      <w:r w:rsidRPr="006568E3">
        <w:rPr>
          <w:lang w:val="en-GB"/>
        </w:rPr>
        <w:t xml:space="preserve">The Fifth Directive requires those in business to carry out what amounts to due diligence on countries. Nations deemed to be high-risk because of their lack of effective anti-money regulations and due diligence requirements are placed on an </w:t>
      </w:r>
      <w:r w:rsidRPr="006568E3">
        <w:rPr>
          <w:lang w:val="en-GB"/>
        </w:rPr>
        <w:lastRenderedPageBreak/>
        <w:t>EU list of states that require more intensive checks when money is moved from them into the EU. There is an obligation on regulated businesses to view this list and ensure that their due diligence procedures reflect the risk posed by financial movements from such countries.</w:t>
      </w:r>
    </w:p>
    <w:p w14:paraId="5198F87D" w14:textId="77777777" w:rsidR="00AA307A" w:rsidRPr="006568E3" w:rsidRDefault="00AA307A" w:rsidP="00430992">
      <w:pPr>
        <w:pStyle w:val="NoteText"/>
        <w:spacing w:before="240"/>
        <w:ind w:left="0"/>
        <w:rPr>
          <w:lang w:val="en-GB"/>
        </w:rPr>
      </w:pPr>
    </w:p>
    <w:p w14:paraId="2906AF29" w14:textId="77777777" w:rsidR="00812653" w:rsidRDefault="00812653" w:rsidP="00430992">
      <w:pPr>
        <w:pStyle w:val="NoteText"/>
        <w:spacing w:before="240"/>
        <w:ind w:left="0"/>
        <w:rPr>
          <w:lang w:val="en-GB"/>
        </w:rPr>
        <w:sectPr w:rsidR="00812653" w:rsidSect="00812653">
          <w:headerReference w:type="default" r:id="rId7"/>
          <w:type w:val="continuous"/>
          <w:pgSz w:w="11906" w:h="16838"/>
          <w:pgMar w:top="1440" w:right="1440" w:bottom="1440" w:left="1440" w:header="708" w:footer="708" w:gutter="0"/>
          <w:cols w:space="708"/>
          <w:docGrid w:linePitch="360"/>
        </w:sectPr>
      </w:pPr>
    </w:p>
    <w:p w14:paraId="5D80ED2C" w14:textId="77777777" w:rsidR="00812653" w:rsidRDefault="00812653" w:rsidP="00430992">
      <w:pPr>
        <w:pStyle w:val="NoteText"/>
        <w:spacing w:before="240"/>
        <w:ind w:left="0"/>
        <w:rPr>
          <w:lang w:val="en-GB"/>
        </w:rPr>
      </w:pPr>
    </w:p>
    <w:p w14:paraId="045FC7FB" w14:textId="04425D65" w:rsidR="00812653" w:rsidRPr="006568E3" w:rsidRDefault="00BB159A" w:rsidP="00430992">
      <w:pPr>
        <w:pStyle w:val="NoteText"/>
        <w:spacing w:before="240"/>
        <w:ind w:left="0"/>
        <w:rPr>
          <w:lang w:val="en-GB"/>
        </w:rPr>
      </w:pPr>
      <w:r w:rsidRPr="006568E3">
        <w:rPr>
          <w:lang w:val="en-GB"/>
        </w:rPr>
        <w:t xml:space="preserve">EU </w:t>
      </w:r>
      <w:r w:rsidR="00812653">
        <w:rPr>
          <w:lang w:val="en-GB"/>
        </w:rPr>
        <w:t xml:space="preserve">list of high risk countries can be found </w:t>
      </w:r>
      <w:hyperlink r:id="rId8" w:history="1">
        <w:r w:rsidR="00812653" w:rsidRPr="001B0F2B">
          <w:rPr>
            <w:rStyle w:val="Hyperlink"/>
            <w:lang w:val="en-GB"/>
          </w:rPr>
          <w:t>here</w:t>
        </w:r>
      </w:hyperlink>
      <w:r w:rsidR="00812653">
        <w:rPr>
          <w:lang w:val="en-GB"/>
        </w:rPr>
        <w:t>.</w:t>
      </w:r>
    </w:p>
    <w:p w14:paraId="33DB1F0E" w14:textId="77777777" w:rsidR="007B29B1" w:rsidRPr="006568E3" w:rsidRDefault="007B29B1" w:rsidP="00430992">
      <w:pPr>
        <w:pStyle w:val="Heading3"/>
        <w:ind w:left="0"/>
        <w:rPr>
          <w:lang w:val="en-GB"/>
        </w:rPr>
        <w:sectPr w:rsidR="007B29B1" w:rsidRPr="006568E3" w:rsidSect="00812653">
          <w:type w:val="continuous"/>
          <w:pgSz w:w="11906" w:h="16838"/>
          <w:pgMar w:top="1440" w:right="1440" w:bottom="1440" w:left="1440" w:header="708" w:footer="708" w:gutter="0"/>
          <w:cols w:space="708"/>
          <w:docGrid w:linePitch="360"/>
        </w:sectPr>
      </w:pPr>
      <w:bookmarkStart w:id="7" w:name="Row_8_LESSON_4_THE_PROCESS_FOR_BENEF"/>
    </w:p>
    <w:p w14:paraId="5198F897" w14:textId="2B4C7A9C" w:rsidR="00AA307A" w:rsidRPr="006568E3" w:rsidRDefault="00BB159A" w:rsidP="00430992">
      <w:pPr>
        <w:pStyle w:val="Heading3"/>
        <w:ind w:left="0"/>
        <w:rPr>
          <w:lang w:val="en-GB"/>
        </w:rPr>
      </w:pPr>
      <w:r w:rsidRPr="006568E3">
        <w:rPr>
          <w:lang w:val="en-GB"/>
        </w:rPr>
        <w:t>LESSON 4 THE PROCESS FOR BENEFICIAL OWNERS</w:t>
      </w:r>
      <w:bookmarkEnd w:id="7"/>
    </w:p>
    <w:p w14:paraId="5198F8C5" w14:textId="041F2E88" w:rsidR="00AA307A" w:rsidRPr="006568E3" w:rsidRDefault="00BB159A" w:rsidP="00430992">
      <w:pPr>
        <w:pStyle w:val="Heading4"/>
        <w:spacing w:before="240"/>
        <w:ind w:left="0"/>
        <w:rPr>
          <w:lang w:val="en-GB"/>
        </w:rPr>
      </w:pPr>
      <w:bookmarkStart w:id="8" w:name="Row_13_Central_register_of_beneficial"/>
      <w:r w:rsidRPr="006568E3">
        <w:rPr>
          <w:lang w:val="en-GB"/>
        </w:rPr>
        <w:t>Central register of beneficial ownership</w:t>
      </w:r>
      <w:bookmarkEnd w:id="8"/>
    </w:p>
    <w:p w14:paraId="5198F8C7" w14:textId="5DB032CA" w:rsidR="00AA307A" w:rsidRPr="006568E3" w:rsidRDefault="00BB159A" w:rsidP="00430992">
      <w:pPr>
        <w:pStyle w:val="NoteText"/>
        <w:spacing w:before="240"/>
        <w:ind w:left="0"/>
        <w:rPr>
          <w:lang w:val="en-GB"/>
        </w:rPr>
      </w:pPr>
      <w:r w:rsidRPr="006568E3">
        <w:rPr>
          <w:lang w:val="en-GB"/>
        </w:rPr>
        <w:t>The Fifth Directive places greater emphasis on transparency around ultimate beneficial ownership (UBO) as part of a targeted attempt to fight back against financial criminals who hide behind often complex and opaque corporate structures.</w:t>
      </w:r>
    </w:p>
    <w:p w14:paraId="5198F8C9" w14:textId="4B995CA1" w:rsidR="00AA307A" w:rsidRPr="006568E3" w:rsidRDefault="00BB159A" w:rsidP="00430992">
      <w:pPr>
        <w:pStyle w:val="NoteText"/>
        <w:spacing w:before="240"/>
        <w:ind w:left="0"/>
        <w:rPr>
          <w:lang w:val="en-GB"/>
        </w:rPr>
      </w:pPr>
      <w:r w:rsidRPr="006568E3">
        <w:rPr>
          <w:lang w:val="en-GB"/>
        </w:rPr>
        <w:t>Under the Fifth Directive, member states are required to maintain inter-connected, publicly available national UBO registries. Separate registries for bank accounts must also be created, although these will only be accessible by authorities. UBO regulations will extend to trusts.</w:t>
      </w:r>
    </w:p>
    <w:p w14:paraId="5198F8CB" w14:textId="55835FE2" w:rsidR="00AA307A" w:rsidRPr="006568E3" w:rsidRDefault="00BB159A" w:rsidP="00430992">
      <w:pPr>
        <w:pStyle w:val="NoteText"/>
        <w:spacing w:before="240"/>
        <w:ind w:left="0"/>
        <w:rPr>
          <w:lang w:val="en-GB"/>
        </w:rPr>
      </w:pPr>
      <w:r w:rsidRPr="006568E3">
        <w:rPr>
          <w:lang w:val="en-GB"/>
        </w:rPr>
        <w:t>The Fifth Directive introduces “effective, proportionate and dissuasive measures or sanctions” for those failing to comply with UBO-related requirements.</w:t>
      </w:r>
    </w:p>
    <w:p w14:paraId="5198F8CD" w14:textId="2C024150" w:rsidR="00AA307A" w:rsidRPr="006568E3" w:rsidRDefault="00BB159A" w:rsidP="00430992">
      <w:pPr>
        <w:pStyle w:val="NoteText"/>
        <w:spacing w:before="240"/>
        <w:ind w:left="0"/>
        <w:rPr>
          <w:lang w:val="en-GB"/>
        </w:rPr>
      </w:pPr>
      <w:r w:rsidRPr="006568E3">
        <w:rPr>
          <w:lang w:val="en-GB"/>
        </w:rPr>
        <w:t>It also extends the requirements relating to central registries, requiring that they be enhanced to ensure that their information is adequate, accurate and current.</w:t>
      </w:r>
    </w:p>
    <w:p w14:paraId="5198F8DA" w14:textId="6D90563A" w:rsidR="00AA307A" w:rsidRPr="006568E3" w:rsidRDefault="00BB159A" w:rsidP="00430992">
      <w:pPr>
        <w:pStyle w:val="NoteText"/>
        <w:spacing w:before="240"/>
        <w:ind w:left="0"/>
        <w:rPr>
          <w:lang w:val="en-GB"/>
        </w:rPr>
      </w:pPr>
      <w:r w:rsidRPr="006568E3">
        <w:rPr>
          <w:lang w:val="en-GB"/>
        </w:rPr>
        <w:t>In many circumstances, members of the general public will be able to access this information, although a ‘legitimate interest’ has been maintained for trusts.</w:t>
      </w:r>
    </w:p>
    <w:p w14:paraId="5198F8DB" w14:textId="77777777" w:rsidR="00AA307A" w:rsidRPr="006568E3" w:rsidRDefault="00BB159A" w:rsidP="00430992">
      <w:pPr>
        <w:pStyle w:val="Heading3"/>
        <w:ind w:left="0"/>
        <w:rPr>
          <w:lang w:val="en-GB"/>
        </w:rPr>
      </w:pPr>
      <w:bookmarkStart w:id="9" w:name="Row_17_LESSON_5_THE_BUSINESS_RELATION"/>
      <w:r w:rsidRPr="006568E3">
        <w:rPr>
          <w:lang w:val="en-GB"/>
        </w:rPr>
        <w:t>LESSON 5 THE BUSINESS RELATIONSHIP</w:t>
      </w:r>
      <w:bookmarkEnd w:id="9"/>
    </w:p>
    <w:p w14:paraId="017A61F4" w14:textId="15EAA690" w:rsidR="009865D4" w:rsidRDefault="009865D4" w:rsidP="00430992">
      <w:pPr>
        <w:pStyle w:val="Heading4"/>
        <w:spacing w:before="240"/>
        <w:ind w:left="0"/>
        <w:rPr>
          <w:lang w:val="en-GB"/>
        </w:rPr>
      </w:pPr>
      <w:r>
        <w:rPr>
          <w:lang w:val="en-GB"/>
        </w:rPr>
        <w:t>Remain aware of risks</w:t>
      </w:r>
    </w:p>
    <w:p w14:paraId="13174643" w14:textId="66048CF2" w:rsidR="009865D4" w:rsidRPr="006568E3" w:rsidRDefault="009865D4" w:rsidP="00430992">
      <w:pPr>
        <w:pStyle w:val="NoteText"/>
        <w:spacing w:before="240"/>
        <w:ind w:left="0"/>
        <w:rPr>
          <w:lang w:val="en-GB"/>
        </w:rPr>
      </w:pPr>
      <w:r w:rsidRPr="006568E3">
        <w:rPr>
          <w:lang w:val="en-GB"/>
        </w:rPr>
        <w:t>The Fifth Directive requires obliged entities to apply CDD when they have any legal duty in a calendar year to contact the customer for reviewing their relevant beneficial ownership information.</w:t>
      </w:r>
    </w:p>
    <w:p w14:paraId="3C0D505C" w14:textId="57A00750" w:rsidR="007B29B1" w:rsidRPr="006568E3" w:rsidRDefault="00BB159A" w:rsidP="00430992">
      <w:pPr>
        <w:pStyle w:val="NoteText"/>
        <w:spacing w:before="240"/>
        <w:ind w:left="0"/>
        <w:rPr>
          <w:lang w:val="en-GB"/>
        </w:rPr>
      </w:pPr>
      <w:r w:rsidRPr="006568E3">
        <w:rPr>
          <w:lang w:val="en-GB"/>
        </w:rPr>
        <w:t>There is a requirement to report discrepancies of beneficial ownership information. This means regulated firms must report discrepancies between beneficial ownership information available at Companies House, and information which they obtain through their own compliance checks.</w:t>
      </w:r>
      <w:bookmarkStart w:id="10" w:name="Row_20_Examining_transactions"/>
    </w:p>
    <w:p w14:paraId="5198F8E1" w14:textId="706D04A5" w:rsidR="00AA307A" w:rsidRPr="006568E3" w:rsidRDefault="00BB159A" w:rsidP="00430992">
      <w:pPr>
        <w:pStyle w:val="Heading4"/>
        <w:spacing w:before="240"/>
        <w:ind w:left="0"/>
        <w:rPr>
          <w:lang w:val="en-GB"/>
        </w:rPr>
      </w:pPr>
      <w:r w:rsidRPr="006568E3">
        <w:rPr>
          <w:lang w:val="en-GB"/>
        </w:rPr>
        <w:t>Examining transactions</w:t>
      </w:r>
      <w:bookmarkEnd w:id="10"/>
    </w:p>
    <w:p w14:paraId="5198F8E3" w14:textId="42739912" w:rsidR="00AA307A" w:rsidRPr="006568E3" w:rsidRDefault="00BB159A" w:rsidP="00430992">
      <w:pPr>
        <w:pStyle w:val="NoteText"/>
        <w:spacing w:before="240"/>
        <w:ind w:left="0"/>
        <w:rPr>
          <w:lang w:val="en-GB"/>
        </w:rPr>
      </w:pPr>
      <w:r w:rsidRPr="006568E3">
        <w:rPr>
          <w:lang w:val="en-GB"/>
        </w:rPr>
        <w:lastRenderedPageBreak/>
        <w:t>Obliged entities must examine the background and purpose of all transactions if they are</w:t>
      </w:r>
      <w:r w:rsidR="00430992">
        <w:rPr>
          <w:lang w:val="en-GB"/>
        </w:rPr>
        <w:t>:</w:t>
      </w:r>
    </w:p>
    <w:p w14:paraId="5198F8E4" w14:textId="74892A30" w:rsidR="00AA307A" w:rsidRPr="006568E3" w:rsidRDefault="00BB159A" w:rsidP="00430992">
      <w:pPr>
        <w:pStyle w:val="NoteText"/>
        <w:numPr>
          <w:ilvl w:val="0"/>
          <w:numId w:val="43"/>
        </w:numPr>
        <w:spacing w:before="240"/>
        <w:ind w:left="720"/>
        <w:rPr>
          <w:lang w:val="en-GB"/>
        </w:rPr>
      </w:pPr>
      <w:r w:rsidRPr="006568E3">
        <w:rPr>
          <w:lang w:val="en-GB"/>
        </w:rPr>
        <w:t xml:space="preserve">Complex </w:t>
      </w:r>
    </w:p>
    <w:p w14:paraId="5198F8E5" w14:textId="4D2465A1" w:rsidR="00AA307A" w:rsidRPr="006568E3" w:rsidRDefault="00BB159A" w:rsidP="00430992">
      <w:pPr>
        <w:pStyle w:val="NoteText"/>
        <w:numPr>
          <w:ilvl w:val="0"/>
          <w:numId w:val="43"/>
        </w:numPr>
        <w:spacing w:before="240"/>
        <w:ind w:left="720"/>
        <w:rPr>
          <w:lang w:val="en-GB"/>
        </w:rPr>
      </w:pPr>
      <w:r w:rsidRPr="006568E3">
        <w:rPr>
          <w:lang w:val="en-GB"/>
        </w:rPr>
        <w:t>Unusually large</w:t>
      </w:r>
    </w:p>
    <w:p w14:paraId="5198F8E6" w14:textId="085BA470" w:rsidR="00AA307A" w:rsidRPr="006568E3" w:rsidRDefault="00BB159A" w:rsidP="00430992">
      <w:pPr>
        <w:pStyle w:val="NoteText"/>
        <w:numPr>
          <w:ilvl w:val="0"/>
          <w:numId w:val="43"/>
        </w:numPr>
        <w:spacing w:before="240"/>
        <w:ind w:left="720"/>
        <w:rPr>
          <w:lang w:val="en-GB"/>
        </w:rPr>
      </w:pPr>
      <w:r w:rsidRPr="006568E3">
        <w:rPr>
          <w:lang w:val="en-GB"/>
        </w:rPr>
        <w:t>Conducted in an unusual pattern</w:t>
      </w:r>
    </w:p>
    <w:p w14:paraId="5198F8E8" w14:textId="2038DC2F" w:rsidR="00AA307A" w:rsidRPr="00430992" w:rsidRDefault="00BB159A" w:rsidP="00430992">
      <w:pPr>
        <w:pStyle w:val="NoteText"/>
        <w:numPr>
          <w:ilvl w:val="0"/>
          <w:numId w:val="43"/>
        </w:numPr>
        <w:spacing w:before="240"/>
        <w:ind w:left="720"/>
        <w:rPr>
          <w:lang w:val="en-GB"/>
        </w:rPr>
      </w:pPr>
      <w:r w:rsidRPr="006568E3">
        <w:rPr>
          <w:lang w:val="en-GB"/>
        </w:rPr>
        <w:t xml:space="preserve">Without apparent lawful or economic purpose </w:t>
      </w:r>
    </w:p>
    <w:p w14:paraId="5198F8EA" w14:textId="67C4220D" w:rsidR="00AA307A" w:rsidRPr="006568E3" w:rsidRDefault="00BB159A" w:rsidP="00430992">
      <w:pPr>
        <w:pStyle w:val="NoteText"/>
        <w:spacing w:before="240"/>
        <w:ind w:left="0"/>
        <w:rPr>
          <w:lang w:val="en-GB"/>
        </w:rPr>
      </w:pPr>
      <w:r w:rsidRPr="006568E3">
        <w:rPr>
          <w:lang w:val="en-GB"/>
        </w:rPr>
        <w:t>Under the Fourth Directive, the obligation was only to scrutinise transactions with no apparent legal or economic purpose which either:</w:t>
      </w:r>
    </w:p>
    <w:p w14:paraId="5198F8EB" w14:textId="69A907E2" w:rsidR="00AA307A" w:rsidRPr="006568E3" w:rsidRDefault="00BB159A" w:rsidP="00430992">
      <w:pPr>
        <w:pStyle w:val="NoteText"/>
        <w:numPr>
          <w:ilvl w:val="0"/>
          <w:numId w:val="44"/>
        </w:numPr>
        <w:spacing w:before="240"/>
        <w:ind w:left="720"/>
        <w:rPr>
          <w:lang w:val="en-GB"/>
        </w:rPr>
      </w:pPr>
      <w:r w:rsidRPr="006568E3">
        <w:rPr>
          <w:lang w:val="en-GB"/>
        </w:rPr>
        <w:t>Unusually large</w:t>
      </w:r>
    </w:p>
    <w:p w14:paraId="5198F8ED" w14:textId="764272D8" w:rsidR="00AA307A" w:rsidRPr="00430992" w:rsidRDefault="00BB159A" w:rsidP="00430992">
      <w:pPr>
        <w:pStyle w:val="NoteText"/>
        <w:numPr>
          <w:ilvl w:val="0"/>
          <w:numId w:val="44"/>
        </w:numPr>
        <w:spacing w:before="240"/>
        <w:ind w:left="720"/>
        <w:rPr>
          <w:lang w:val="en-GB"/>
        </w:rPr>
      </w:pPr>
      <w:r w:rsidRPr="006568E3">
        <w:rPr>
          <w:lang w:val="en-GB"/>
        </w:rPr>
        <w:t>Conducted in an unusual pattern</w:t>
      </w:r>
    </w:p>
    <w:p w14:paraId="746F16CE" w14:textId="6E3CC825" w:rsidR="00DF72CF" w:rsidRPr="00430992" w:rsidRDefault="00BB159A" w:rsidP="00430992">
      <w:pPr>
        <w:pStyle w:val="NoteText"/>
        <w:spacing w:before="240"/>
        <w:ind w:left="0"/>
        <w:rPr>
          <w:lang w:val="en-GB"/>
        </w:rPr>
      </w:pPr>
      <w:r w:rsidRPr="006568E3">
        <w:rPr>
          <w:lang w:val="en-GB"/>
        </w:rPr>
        <w:t>Among a list of customer risk factors at potentially higher risk, a customer being a third country national who applies for residence rights or citizenship in the member state in exchange of capital transfers, purchase of property or government bonds, or investment in corporate entities was added.</w:t>
      </w:r>
      <w:bookmarkStart w:id="11" w:name="Row_21_AML_Fundamentals"/>
      <w:r w:rsidR="00DF72CF" w:rsidRPr="006568E3">
        <w:rPr>
          <w:b/>
          <w:sz w:val="60"/>
          <w:lang w:val="en-GB"/>
        </w:rPr>
        <w:br w:type="page"/>
      </w:r>
    </w:p>
    <w:p w14:paraId="5198F8EF" w14:textId="41339F32" w:rsidR="00AA307A" w:rsidRPr="006568E3" w:rsidRDefault="00BB159A" w:rsidP="00430992">
      <w:pPr>
        <w:spacing w:before="240"/>
        <w:outlineLvl w:val="0"/>
        <w:rPr>
          <w:rFonts w:asciiTheme="minorBidi" w:hAnsiTheme="minorBidi" w:cstheme="minorBidi"/>
          <w:b/>
          <w:color w:val="000000" w:themeColor="text1"/>
          <w:sz w:val="60"/>
          <w:lang w:val="en-GB"/>
        </w:rPr>
      </w:pPr>
      <w:r w:rsidRPr="006568E3">
        <w:rPr>
          <w:rFonts w:asciiTheme="minorBidi" w:hAnsiTheme="minorBidi" w:cstheme="minorBidi"/>
          <w:b/>
          <w:color w:val="000000" w:themeColor="text1"/>
          <w:sz w:val="60"/>
          <w:lang w:val="en-GB"/>
        </w:rPr>
        <w:lastRenderedPageBreak/>
        <w:t>AML Fundamentals</w:t>
      </w:r>
      <w:bookmarkEnd w:id="11"/>
    </w:p>
    <w:p w14:paraId="5198F8F0" w14:textId="77777777" w:rsidR="00AA307A" w:rsidRPr="006568E3" w:rsidRDefault="00BB159A" w:rsidP="00430992">
      <w:pPr>
        <w:pStyle w:val="Heading2"/>
        <w:spacing w:before="240"/>
        <w:ind w:left="0"/>
        <w:rPr>
          <w:rFonts w:asciiTheme="minorBidi" w:hAnsiTheme="minorBidi" w:cstheme="minorBidi"/>
          <w:color w:val="000000" w:themeColor="text1"/>
          <w:lang w:val="en-GB"/>
        </w:rPr>
      </w:pPr>
      <w:bookmarkStart w:id="12" w:name="Row_22_MODULE_3_CLIENT_DUE_DILIGENCE_"/>
      <w:r w:rsidRPr="006568E3">
        <w:rPr>
          <w:rFonts w:asciiTheme="minorBidi" w:hAnsiTheme="minorBidi" w:cstheme="minorBidi"/>
          <w:color w:val="000000" w:themeColor="text1"/>
          <w:lang w:val="en-GB"/>
        </w:rPr>
        <w:t>MODULE 3 CLIENT DUE DILIGENCE MEASURES</w:t>
      </w:r>
      <w:bookmarkEnd w:id="12"/>
    </w:p>
    <w:p w14:paraId="5198F8F2" w14:textId="483F499D" w:rsidR="00AA307A" w:rsidRPr="006568E3" w:rsidRDefault="00BB159A" w:rsidP="00430992">
      <w:pPr>
        <w:pStyle w:val="Heading3"/>
        <w:ind w:left="0"/>
        <w:rPr>
          <w:lang w:val="en-GB"/>
        </w:rPr>
      </w:pPr>
      <w:bookmarkStart w:id="13" w:name="Row_23_LESSON_2_VERIFICATION_OF_IDENT"/>
      <w:r w:rsidRPr="006568E3">
        <w:rPr>
          <w:lang w:val="en-GB"/>
        </w:rPr>
        <w:t xml:space="preserve">LESSON 2 </w:t>
      </w:r>
      <w:bookmarkEnd w:id="13"/>
    </w:p>
    <w:p w14:paraId="3524C839" w14:textId="16220046" w:rsidR="009865D4" w:rsidRPr="009865D4" w:rsidRDefault="009865D4" w:rsidP="00430992">
      <w:pPr>
        <w:pStyle w:val="Heading3"/>
        <w:ind w:left="0"/>
        <w:rPr>
          <w:bCs w:val="0"/>
          <w:caps w:val="0"/>
          <w:sz w:val="24"/>
          <w:szCs w:val="24"/>
          <w:lang w:val="en-GB"/>
        </w:rPr>
      </w:pPr>
      <w:bookmarkStart w:id="14" w:name="Row_25_LESSON_3_SIMPLIFIED_AND_ENHANC"/>
      <w:r w:rsidRPr="009865D4">
        <w:rPr>
          <w:bCs w:val="0"/>
          <w:caps w:val="0"/>
          <w:sz w:val="24"/>
          <w:szCs w:val="24"/>
          <w:lang w:val="en-GB"/>
        </w:rPr>
        <w:t xml:space="preserve">In the UK, verification of a client’s identity must take place before the establishment of a business relationship or the carrying out of an occasional transaction. </w:t>
      </w:r>
    </w:p>
    <w:p w14:paraId="36E9784F" w14:textId="31714523" w:rsidR="009865D4" w:rsidRPr="009865D4" w:rsidRDefault="009865D4" w:rsidP="00430992">
      <w:pPr>
        <w:pStyle w:val="Heading3"/>
        <w:ind w:left="0"/>
        <w:rPr>
          <w:bCs w:val="0"/>
          <w:caps w:val="0"/>
          <w:sz w:val="24"/>
          <w:szCs w:val="24"/>
          <w:lang w:val="en-GB"/>
        </w:rPr>
      </w:pPr>
      <w:r w:rsidRPr="009865D4">
        <w:rPr>
          <w:bCs w:val="0"/>
          <w:caps w:val="0"/>
          <w:sz w:val="24"/>
          <w:szCs w:val="24"/>
          <w:lang w:val="en-GB"/>
        </w:rPr>
        <w:t>The Fifth Directive requires obliged entities to apply CDD when they have any legal duty in a calendar year to contact the customer for reviewing their relevant beneficial ownership information.</w:t>
      </w:r>
    </w:p>
    <w:p w14:paraId="115E4AD8" w14:textId="77777777" w:rsidR="001B0F2B" w:rsidRDefault="009865D4" w:rsidP="00430992">
      <w:pPr>
        <w:pStyle w:val="Heading3"/>
        <w:ind w:left="0"/>
        <w:rPr>
          <w:bCs w:val="0"/>
          <w:caps w:val="0"/>
          <w:sz w:val="24"/>
          <w:szCs w:val="24"/>
          <w:lang w:val="en-GB"/>
        </w:rPr>
      </w:pPr>
      <w:r w:rsidRPr="009865D4">
        <w:rPr>
          <w:bCs w:val="0"/>
          <w:caps w:val="0"/>
          <w:sz w:val="24"/>
          <w:szCs w:val="24"/>
          <w:lang w:val="en-GB"/>
        </w:rPr>
        <w:t xml:space="preserve">If the client changes </w:t>
      </w:r>
      <w:proofErr w:type="gramStart"/>
      <w:r w:rsidRPr="009865D4">
        <w:rPr>
          <w:bCs w:val="0"/>
          <w:caps w:val="0"/>
          <w:sz w:val="24"/>
          <w:szCs w:val="24"/>
          <w:lang w:val="en-GB"/>
        </w:rPr>
        <w:t>during the course of</w:t>
      </w:r>
      <w:proofErr w:type="gramEnd"/>
      <w:r w:rsidRPr="009865D4">
        <w:rPr>
          <w:bCs w:val="0"/>
          <w:caps w:val="0"/>
          <w:sz w:val="24"/>
          <w:szCs w:val="24"/>
          <w:lang w:val="en-GB"/>
        </w:rPr>
        <w:t xml:space="preserve"> a matter, the identity of the new client must also be established and verified as soon as possible. </w:t>
      </w:r>
    </w:p>
    <w:p w14:paraId="5198F8F5" w14:textId="3C367CCB" w:rsidR="00AA307A" w:rsidRPr="006568E3" w:rsidRDefault="00BB159A" w:rsidP="00430992">
      <w:pPr>
        <w:pStyle w:val="Heading3"/>
        <w:ind w:left="0"/>
        <w:rPr>
          <w:lang w:val="en-GB"/>
        </w:rPr>
      </w:pPr>
      <w:r w:rsidRPr="006568E3">
        <w:rPr>
          <w:lang w:val="en-GB"/>
        </w:rPr>
        <w:t>LESSON 3 SIMPLIFIED AND ENHANCED DUE DILIGENCE</w:t>
      </w:r>
      <w:bookmarkEnd w:id="14"/>
    </w:p>
    <w:p w14:paraId="5198F8F6" w14:textId="77777777" w:rsidR="00AA307A" w:rsidRPr="006568E3" w:rsidRDefault="00BB159A" w:rsidP="00430992">
      <w:pPr>
        <w:pStyle w:val="Heading4"/>
        <w:spacing w:before="240"/>
        <w:ind w:left="0"/>
        <w:rPr>
          <w:lang w:val="en-GB"/>
        </w:rPr>
      </w:pPr>
      <w:bookmarkStart w:id="15" w:name="Row_26_Enhanced_due_diligence"/>
      <w:r w:rsidRPr="006568E3">
        <w:rPr>
          <w:lang w:val="en-GB"/>
        </w:rPr>
        <w:t>Enhanced due diligence</w:t>
      </w:r>
      <w:bookmarkEnd w:id="15"/>
    </w:p>
    <w:p w14:paraId="5198F8F8" w14:textId="2CD72110" w:rsidR="00AA307A" w:rsidRPr="006568E3" w:rsidRDefault="00BB159A" w:rsidP="00430992">
      <w:pPr>
        <w:pStyle w:val="NoteText"/>
        <w:spacing w:before="240"/>
        <w:ind w:left="0"/>
        <w:rPr>
          <w:lang w:val="en-GB"/>
        </w:rPr>
      </w:pPr>
      <w:r w:rsidRPr="006568E3">
        <w:rPr>
          <w:lang w:val="en-GB"/>
        </w:rPr>
        <w:t>Enhanced due diligence measures include obtaining information on the customer, beneficial owner, intended nature of the business relationship, source of funds, source of wealth of the customer and beneficial owner and reasons for intended or performed transactions. </w:t>
      </w:r>
    </w:p>
    <w:p w14:paraId="5198F8FA" w14:textId="541C32C3" w:rsidR="00AA307A" w:rsidRPr="006568E3" w:rsidRDefault="00BB159A" w:rsidP="00430992">
      <w:pPr>
        <w:pStyle w:val="NoteText"/>
        <w:spacing w:before="240"/>
        <w:ind w:left="0"/>
        <w:rPr>
          <w:lang w:val="en-GB"/>
        </w:rPr>
      </w:pPr>
      <w:r w:rsidRPr="006568E3">
        <w:rPr>
          <w:lang w:val="en-GB"/>
        </w:rPr>
        <w:t>The Fifth Directive adds to the existing list of "higher risk situations" which require the application of EDD to include transactions relating to:</w:t>
      </w:r>
    </w:p>
    <w:p w14:paraId="4D8DC6F3" w14:textId="10F8EEC2" w:rsidR="007B29B1" w:rsidRPr="006568E3" w:rsidRDefault="00BB159A" w:rsidP="00430992">
      <w:pPr>
        <w:pStyle w:val="NoteText"/>
        <w:spacing w:before="240"/>
        <w:ind w:left="0"/>
        <w:rPr>
          <w:lang w:val="en-GB"/>
        </w:rPr>
      </w:pPr>
      <w:r w:rsidRPr="006568E3">
        <w:rPr>
          <w:lang w:val="en-GB"/>
        </w:rPr>
        <w:t>“cultural artefacts and other items of archaeological, historical, cultural and religious importance, or of rare scientific value, as well as ivory and protected species.”</w:t>
      </w:r>
      <w:bookmarkStart w:id="16" w:name="Row_27_Country_due_diligence"/>
    </w:p>
    <w:p w14:paraId="5198F8FC" w14:textId="53244939" w:rsidR="00AA307A" w:rsidRPr="006568E3" w:rsidRDefault="00BB159A" w:rsidP="00430992">
      <w:pPr>
        <w:pStyle w:val="Heading4"/>
        <w:spacing w:before="240"/>
        <w:ind w:left="0"/>
        <w:rPr>
          <w:lang w:val="en-GB"/>
        </w:rPr>
      </w:pPr>
      <w:r w:rsidRPr="006568E3">
        <w:rPr>
          <w:lang w:val="en-GB"/>
        </w:rPr>
        <w:t>Country due diligence</w:t>
      </w:r>
      <w:bookmarkEnd w:id="16"/>
    </w:p>
    <w:p w14:paraId="5198F8FE" w14:textId="58D43569" w:rsidR="00AA307A" w:rsidRPr="006568E3" w:rsidRDefault="00BB159A" w:rsidP="00430992">
      <w:pPr>
        <w:pStyle w:val="NoteText"/>
        <w:spacing w:before="240"/>
        <w:ind w:left="0"/>
        <w:rPr>
          <w:lang w:val="en-GB"/>
        </w:rPr>
      </w:pPr>
      <w:r w:rsidRPr="006568E3">
        <w:rPr>
          <w:lang w:val="en-GB"/>
        </w:rPr>
        <w:t>The Fifth Directive requires those in business to carry out what amounts to due diligence on countries. Nations deemed to be high-risk because of their lack of effective anti-money regulations and due diligence requirements are placed on an EU list of states that require more intensive checks when money is moved from them into the EU. There is an obligation on regulated businesses to view this list and ensure that their due diligence procedures reflect the risk posed by financial movements from such countries.</w:t>
      </w:r>
    </w:p>
    <w:p w14:paraId="1A4BF8EF" w14:textId="5742940C" w:rsidR="007B29B1" w:rsidRDefault="00BB159A" w:rsidP="00430992">
      <w:pPr>
        <w:pStyle w:val="NoteText"/>
        <w:spacing w:before="240"/>
        <w:ind w:left="0"/>
        <w:rPr>
          <w:lang w:val="en-GB"/>
        </w:rPr>
      </w:pPr>
      <w:r w:rsidRPr="006568E3">
        <w:rPr>
          <w:lang w:val="en-GB"/>
        </w:rPr>
        <w:t>EU l</w:t>
      </w:r>
      <w:bookmarkStart w:id="17" w:name="Row_28_AML_Know_Your_Risk"/>
      <w:r w:rsidR="00812653">
        <w:rPr>
          <w:lang w:val="en-GB"/>
        </w:rPr>
        <w:t xml:space="preserve">ist of high risk countries can be found </w:t>
      </w:r>
      <w:hyperlink r:id="rId9" w:history="1">
        <w:r w:rsidR="00812653" w:rsidRPr="001B0F2B">
          <w:rPr>
            <w:rStyle w:val="Hyperlink"/>
            <w:lang w:val="en-GB"/>
          </w:rPr>
          <w:t>here</w:t>
        </w:r>
      </w:hyperlink>
      <w:r w:rsidR="00812653">
        <w:rPr>
          <w:lang w:val="en-GB"/>
        </w:rPr>
        <w:t>.</w:t>
      </w:r>
    </w:p>
    <w:p w14:paraId="6BFD9784" w14:textId="2964C7A6" w:rsidR="00812653" w:rsidRPr="006568E3" w:rsidRDefault="00812653" w:rsidP="00430992">
      <w:pPr>
        <w:pStyle w:val="NoteText"/>
        <w:spacing w:before="240"/>
        <w:ind w:left="0"/>
        <w:rPr>
          <w:lang w:val="en-GB"/>
        </w:rPr>
        <w:sectPr w:rsidR="00812653" w:rsidRPr="006568E3" w:rsidSect="00812653">
          <w:type w:val="continuous"/>
          <w:pgSz w:w="11906" w:h="16838"/>
          <w:pgMar w:top="1440" w:right="1440" w:bottom="1440" w:left="1440" w:header="708" w:footer="708" w:gutter="0"/>
          <w:cols w:space="708"/>
          <w:docGrid w:linePitch="360"/>
        </w:sectPr>
      </w:pPr>
    </w:p>
    <w:p w14:paraId="74167BBE" w14:textId="77777777" w:rsidR="00812653" w:rsidRDefault="00812653" w:rsidP="00430992">
      <w:pPr>
        <w:spacing w:before="240" w:line="240" w:lineRule="auto"/>
        <w:rPr>
          <w:rFonts w:asciiTheme="minorBidi" w:hAnsiTheme="minorBidi" w:cstheme="minorBidi"/>
          <w:b/>
          <w:color w:val="000000" w:themeColor="text1"/>
          <w:sz w:val="60"/>
          <w:lang w:val="en-GB"/>
        </w:rPr>
      </w:pPr>
      <w:r>
        <w:rPr>
          <w:rFonts w:asciiTheme="minorBidi" w:hAnsiTheme="minorBidi" w:cstheme="minorBidi"/>
          <w:b/>
          <w:color w:val="000000" w:themeColor="text1"/>
          <w:sz w:val="60"/>
          <w:lang w:val="en-GB"/>
        </w:rPr>
        <w:br w:type="page"/>
      </w:r>
    </w:p>
    <w:p w14:paraId="5198F918" w14:textId="6F99A331" w:rsidR="00AA307A" w:rsidRPr="006568E3" w:rsidRDefault="00BB159A" w:rsidP="00430992">
      <w:pPr>
        <w:spacing w:before="240"/>
        <w:outlineLvl w:val="0"/>
        <w:rPr>
          <w:rFonts w:asciiTheme="minorBidi" w:hAnsiTheme="minorBidi" w:cstheme="minorBidi"/>
          <w:b/>
          <w:color w:val="000000" w:themeColor="text1"/>
          <w:sz w:val="60"/>
          <w:lang w:val="en-GB"/>
        </w:rPr>
      </w:pPr>
      <w:r w:rsidRPr="006568E3">
        <w:rPr>
          <w:rFonts w:asciiTheme="minorBidi" w:hAnsiTheme="minorBidi" w:cstheme="minorBidi"/>
          <w:b/>
          <w:color w:val="000000" w:themeColor="text1"/>
          <w:sz w:val="60"/>
          <w:lang w:val="en-GB"/>
        </w:rPr>
        <w:lastRenderedPageBreak/>
        <w:t>AML: Know Your Risk</w:t>
      </w:r>
      <w:bookmarkEnd w:id="17"/>
    </w:p>
    <w:p w14:paraId="5198F91C" w14:textId="77777777" w:rsidR="00AA307A" w:rsidRPr="006568E3" w:rsidRDefault="00BB159A" w:rsidP="00430992">
      <w:pPr>
        <w:pStyle w:val="Heading2"/>
        <w:spacing w:before="240"/>
        <w:ind w:left="0"/>
        <w:rPr>
          <w:rFonts w:asciiTheme="minorBidi" w:hAnsiTheme="minorBidi" w:cstheme="minorBidi"/>
          <w:color w:val="000000" w:themeColor="text1"/>
          <w:lang w:val="en-GB"/>
        </w:rPr>
      </w:pPr>
      <w:bookmarkStart w:id="18" w:name="Row_31_Suspicious_transactions"/>
      <w:r w:rsidRPr="006568E3">
        <w:rPr>
          <w:rFonts w:asciiTheme="minorBidi" w:hAnsiTheme="minorBidi" w:cstheme="minorBidi"/>
          <w:color w:val="000000" w:themeColor="text1"/>
          <w:lang w:val="en-GB"/>
        </w:rPr>
        <w:t>Suspicious transactions</w:t>
      </w:r>
      <w:bookmarkEnd w:id="18"/>
    </w:p>
    <w:p w14:paraId="5198F91D" w14:textId="4E036B87" w:rsidR="00AA307A" w:rsidRPr="006568E3" w:rsidRDefault="00BB159A" w:rsidP="00430992">
      <w:pPr>
        <w:pStyle w:val="Heading4"/>
        <w:spacing w:before="240"/>
        <w:ind w:left="0"/>
        <w:rPr>
          <w:lang w:val="en-GB"/>
        </w:rPr>
      </w:pPr>
      <w:bookmarkStart w:id="19" w:name="Row_32_Ecash"/>
      <w:r w:rsidRPr="006568E3">
        <w:rPr>
          <w:lang w:val="en-GB"/>
        </w:rPr>
        <w:t>E-cash</w:t>
      </w:r>
      <w:bookmarkEnd w:id="19"/>
    </w:p>
    <w:p w14:paraId="5198F91F" w14:textId="6011DD6D" w:rsidR="00AA307A" w:rsidRPr="006568E3" w:rsidRDefault="00BB159A" w:rsidP="00430992">
      <w:pPr>
        <w:pStyle w:val="NoteText"/>
        <w:spacing w:before="240"/>
        <w:ind w:left="0"/>
        <w:rPr>
          <w:lang w:val="en-GB"/>
        </w:rPr>
      </w:pPr>
      <w:r w:rsidRPr="006568E3">
        <w:rPr>
          <w:lang w:val="en-GB"/>
        </w:rPr>
        <w:t>Under the Fifth Directive, there are limits to monthly payment transactions and the maximum amount which can be stored electronically. Both limits are reduced from €250 to €150. In the case of redemption of the monetary value of electronic money, the previous amount of €100 has been reduced to €50.</w:t>
      </w:r>
    </w:p>
    <w:p w14:paraId="5198F920" w14:textId="77777777" w:rsidR="00AA307A" w:rsidRPr="006568E3" w:rsidRDefault="00BB159A" w:rsidP="00430992">
      <w:pPr>
        <w:pStyle w:val="NoteText"/>
        <w:spacing w:before="240"/>
        <w:ind w:left="0"/>
        <w:rPr>
          <w:lang w:val="en-GB"/>
        </w:rPr>
      </w:pPr>
      <w:r w:rsidRPr="006568E3">
        <w:rPr>
          <w:lang w:val="en-GB"/>
        </w:rPr>
        <w:t>Prepaid cards issued outside the EU are prohibited unless they were issued in a territory enforcing legislation equivalent to the EU’s AML and CDD standards.</w:t>
      </w:r>
    </w:p>
    <w:p w14:paraId="44E478A2" w14:textId="77777777" w:rsidR="00DF72CF" w:rsidRPr="006568E3" w:rsidRDefault="00DF72CF" w:rsidP="00430992">
      <w:pPr>
        <w:spacing w:before="240" w:line="240" w:lineRule="auto"/>
        <w:rPr>
          <w:rFonts w:asciiTheme="minorBidi" w:hAnsiTheme="minorBidi" w:cstheme="minorBidi"/>
          <w:b/>
          <w:color w:val="000000" w:themeColor="text1"/>
          <w:sz w:val="60"/>
          <w:lang w:val="en-GB"/>
        </w:rPr>
      </w:pPr>
      <w:bookmarkStart w:id="20" w:name="Row_33_AML_360"/>
      <w:r w:rsidRPr="006568E3">
        <w:rPr>
          <w:rFonts w:asciiTheme="minorBidi" w:hAnsiTheme="minorBidi" w:cstheme="minorBidi"/>
          <w:b/>
          <w:color w:val="000000" w:themeColor="text1"/>
          <w:sz w:val="60"/>
          <w:lang w:val="en-GB"/>
        </w:rPr>
        <w:br w:type="page"/>
      </w:r>
    </w:p>
    <w:p w14:paraId="5198F921" w14:textId="7E98BF01" w:rsidR="00AA307A" w:rsidRPr="006568E3" w:rsidRDefault="00BB159A" w:rsidP="00430992">
      <w:pPr>
        <w:spacing w:before="240"/>
        <w:outlineLvl w:val="0"/>
        <w:rPr>
          <w:rFonts w:asciiTheme="minorBidi" w:hAnsiTheme="minorBidi" w:cstheme="minorBidi"/>
          <w:b/>
          <w:color w:val="000000" w:themeColor="text1"/>
          <w:sz w:val="60"/>
          <w:lang w:val="en-GB"/>
        </w:rPr>
      </w:pPr>
      <w:r w:rsidRPr="006568E3">
        <w:rPr>
          <w:rFonts w:asciiTheme="minorBidi" w:hAnsiTheme="minorBidi" w:cstheme="minorBidi"/>
          <w:b/>
          <w:color w:val="000000" w:themeColor="text1"/>
          <w:sz w:val="60"/>
          <w:lang w:val="en-GB"/>
        </w:rPr>
        <w:lastRenderedPageBreak/>
        <w:t>AML 360</w:t>
      </w:r>
      <w:bookmarkEnd w:id="20"/>
    </w:p>
    <w:p w14:paraId="5198F922" w14:textId="77777777" w:rsidR="00AA307A" w:rsidRPr="006568E3" w:rsidRDefault="00BB159A" w:rsidP="00430992">
      <w:pPr>
        <w:pStyle w:val="Heading2"/>
        <w:spacing w:before="240"/>
        <w:ind w:left="0"/>
        <w:rPr>
          <w:lang w:val="en-GB"/>
        </w:rPr>
      </w:pPr>
      <w:bookmarkStart w:id="21" w:name="Row_34_Recent_changes_in_Money_Launde"/>
      <w:r w:rsidRPr="006568E3">
        <w:rPr>
          <w:lang w:val="en-GB"/>
        </w:rPr>
        <w:t>Recent changes in Money Laundering law</w:t>
      </w:r>
      <w:bookmarkEnd w:id="21"/>
    </w:p>
    <w:p w14:paraId="5198F923" w14:textId="77777777" w:rsidR="00AA307A" w:rsidRPr="006568E3" w:rsidRDefault="00BB159A" w:rsidP="00430992">
      <w:pPr>
        <w:pStyle w:val="Heading4"/>
        <w:spacing w:before="240"/>
        <w:ind w:left="0"/>
        <w:rPr>
          <w:lang w:val="en-GB"/>
        </w:rPr>
      </w:pPr>
      <w:bookmarkStart w:id="22" w:name="Row_35_Enhanced_due_diligence"/>
      <w:r w:rsidRPr="006568E3">
        <w:rPr>
          <w:lang w:val="en-GB"/>
        </w:rPr>
        <w:t>Enhanced due diligence</w:t>
      </w:r>
      <w:bookmarkEnd w:id="22"/>
    </w:p>
    <w:p w14:paraId="42366FC6" w14:textId="28688819" w:rsidR="00BF71F7" w:rsidRPr="006568E3" w:rsidRDefault="00BB159A" w:rsidP="00430992">
      <w:pPr>
        <w:pStyle w:val="NoteText"/>
        <w:spacing w:before="240"/>
        <w:ind w:left="0"/>
        <w:rPr>
          <w:lang w:val="en-GB"/>
        </w:rPr>
      </w:pPr>
      <w:r w:rsidRPr="006568E3">
        <w:rPr>
          <w:lang w:val="en-GB"/>
        </w:rPr>
        <w:t>The Fifth Directive requires enhanced due diligence when dealing with transactions from high risk countries. As well as obtaining evidence of the source of funds and source of wealth, information on beneficial ownership and background to the intended transaction must also be recorded.</w:t>
      </w:r>
    </w:p>
    <w:p w14:paraId="5198F925" w14:textId="77777777" w:rsidR="00AA307A" w:rsidRPr="006568E3" w:rsidRDefault="00BB159A" w:rsidP="00430992">
      <w:pPr>
        <w:pStyle w:val="Heading4"/>
        <w:spacing w:before="240"/>
        <w:ind w:left="0"/>
        <w:rPr>
          <w:lang w:val="en-GB"/>
        </w:rPr>
      </w:pPr>
      <w:bookmarkStart w:id="23" w:name="Row_36_Regulating_cryptocurrency"/>
      <w:r w:rsidRPr="006568E3">
        <w:rPr>
          <w:lang w:val="en-GB"/>
        </w:rPr>
        <w:t>Regulating cryptocurrency</w:t>
      </w:r>
      <w:bookmarkEnd w:id="23"/>
    </w:p>
    <w:p w14:paraId="5198F929" w14:textId="4D39F754" w:rsidR="00AA307A" w:rsidRPr="006568E3" w:rsidRDefault="00BB159A" w:rsidP="00430992">
      <w:pPr>
        <w:pStyle w:val="NoteText"/>
        <w:spacing w:before="240"/>
        <w:ind w:left="0"/>
        <w:rPr>
          <w:lang w:val="en-GB"/>
        </w:rPr>
      </w:pPr>
      <w:r w:rsidRPr="006568E3">
        <w:rPr>
          <w:lang w:val="en-GB"/>
        </w:rPr>
        <w:t>Under the Fifth Directive, virtual currencies such as Bitcoin have a legal definition. Virtual currency platforms and wallet providers are regulated entities under the scope of the directive. While many already conduct due diligence and report suspicious transactions, the Fifth Directive makes it a legal requirement.</w:t>
      </w:r>
    </w:p>
    <w:p w14:paraId="5198F92A" w14:textId="77777777" w:rsidR="00AA307A" w:rsidRPr="006568E3" w:rsidRDefault="00BB159A" w:rsidP="00430992">
      <w:pPr>
        <w:pStyle w:val="Heading2"/>
        <w:spacing w:before="240"/>
        <w:ind w:left="0"/>
        <w:rPr>
          <w:rFonts w:asciiTheme="minorBidi" w:hAnsiTheme="minorBidi" w:cstheme="minorBidi"/>
          <w:color w:val="000000" w:themeColor="text1"/>
          <w:lang w:val="en-GB"/>
        </w:rPr>
      </w:pPr>
      <w:bookmarkStart w:id="24" w:name="Row_38_Cryptocurrency"/>
      <w:r w:rsidRPr="006568E3">
        <w:rPr>
          <w:rFonts w:asciiTheme="minorBidi" w:hAnsiTheme="minorBidi" w:cstheme="minorBidi"/>
          <w:color w:val="000000" w:themeColor="text1"/>
          <w:lang w:val="en-GB"/>
        </w:rPr>
        <w:t>Cryptocurrency</w:t>
      </w:r>
      <w:bookmarkEnd w:id="24"/>
    </w:p>
    <w:p w14:paraId="3AD4B5BE" w14:textId="43D23FF6" w:rsidR="00344A2A" w:rsidRPr="00430992" w:rsidRDefault="00344A2A" w:rsidP="00430992">
      <w:pPr>
        <w:spacing w:before="240" w:line="240" w:lineRule="auto"/>
        <w:rPr>
          <w:rFonts w:asciiTheme="minorBidi" w:hAnsiTheme="minorBidi" w:cstheme="minorBidi"/>
          <w:color w:val="000000" w:themeColor="text1"/>
          <w:sz w:val="24"/>
          <w:szCs w:val="24"/>
          <w:lang w:val="en-GB"/>
        </w:rPr>
      </w:pPr>
      <w:r w:rsidRPr="00430992">
        <w:rPr>
          <w:rFonts w:asciiTheme="minorBidi" w:hAnsiTheme="minorBidi" w:cstheme="minorBidi"/>
          <w:color w:val="000000" w:themeColor="text1"/>
          <w:sz w:val="24"/>
          <w:szCs w:val="24"/>
          <w:lang w:val="en-GB"/>
        </w:rPr>
        <w:t xml:space="preserve">The Fifth Directive introduces a legal definition of cryptocurrency, also known as </w:t>
      </w:r>
      <w:proofErr w:type="spellStart"/>
      <w:r w:rsidRPr="00430992">
        <w:rPr>
          <w:rFonts w:asciiTheme="minorBidi" w:hAnsiTheme="minorBidi" w:cstheme="minorBidi"/>
          <w:color w:val="000000" w:themeColor="text1"/>
          <w:sz w:val="24"/>
          <w:szCs w:val="24"/>
          <w:lang w:val="en-GB"/>
        </w:rPr>
        <w:t>cryptooassets</w:t>
      </w:r>
      <w:proofErr w:type="spellEnd"/>
      <w:r w:rsidRPr="00430992">
        <w:rPr>
          <w:rFonts w:asciiTheme="minorBidi" w:hAnsiTheme="minorBidi" w:cstheme="minorBidi"/>
          <w:color w:val="000000" w:themeColor="text1"/>
          <w:sz w:val="24"/>
          <w:szCs w:val="24"/>
          <w:lang w:val="en-GB"/>
        </w:rPr>
        <w:t>, which may broadly be regarded as “a digital representation of value that can be digitally transferred, stored or traded and is accepted… as a medium of exchange.”</w:t>
      </w:r>
    </w:p>
    <w:p w14:paraId="5FDAA426" w14:textId="73EC902A" w:rsidR="00344A2A" w:rsidRPr="00430992" w:rsidRDefault="00344A2A" w:rsidP="00430992">
      <w:pPr>
        <w:spacing w:before="240" w:line="240" w:lineRule="auto"/>
        <w:rPr>
          <w:rFonts w:asciiTheme="minorBidi" w:hAnsiTheme="minorBidi" w:cstheme="minorBidi"/>
          <w:color w:val="000000" w:themeColor="text1"/>
          <w:sz w:val="24"/>
          <w:szCs w:val="24"/>
          <w:lang w:val="en-GB"/>
        </w:rPr>
      </w:pPr>
      <w:r w:rsidRPr="00430992">
        <w:rPr>
          <w:rFonts w:asciiTheme="minorBidi" w:hAnsiTheme="minorBidi" w:cstheme="minorBidi"/>
          <w:color w:val="000000" w:themeColor="text1"/>
          <w:sz w:val="24"/>
          <w:szCs w:val="24"/>
          <w:lang w:val="en-GB"/>
        </w:rPr>
        <w:t xml:space="preserve">Cryptocurrencies like Bitcoin and Ethereum are classified as exchange tokens. They aren’t regulated but fall under anti-money laundering regulations. Security tokens are classified as a specified investment and fall under FCA jurisdiction. Utility tokens are regulated by the FCA only if they are defined as e-money. </w:t>
      </w:r>
      <w:proofErr w:type="spellStart"/>
      <w:r w:rsidRPr="00430992">
        <w:rPr>
          <w:rFonts w:asciiTheme="minorBidi" w:hAnsiTheme="minorBidi" w:cstheme="minorBidi"/>
          <w:color w:val="000000" w:themeColor="text1"/>
          <w:sz w:val="24"/>
          <w:szCs w:val="24"/>
          <w:lang w:val="en-GB"/>
        </w:rPr>
        <w:t>Stablecoins</w:t>
      </w:r>
      <w:proofErr w:type="spellEnd"/>
      <w:r w:rsidRPr="00430992">
        <w:rPr>
          <w:rFonts w:asciiTheme="minorBidi" w:hAnsiTheme="minorBidi" w:cstheme="minorBidi"/>
          <w:color w:val="000000" w:themeColor="text1"/>
          <w:sz w:val="24"/>
          <w:szCs w:val="24"/>
          <w:lang w:val="en-GB"/>
        </w:rPr>
        <w:t xml:space="preserve"> can be defined as e-money, which is subject to the FCA’s control.</w:t>
      </w:r>
    </w:p>
    <w:p w14:paraId="3AF2523C" w14:textId="55638641" w:rsidR="00344A2A" w:rsidRPr="00430992" w:rsidRDefault="00344A2A" w:rsidP="00430992">
      <w:pPr>
        <w:spacing w:before="240" w:line="240" w:lineRule="auto"/>
        <w:rPr>
          <w:rFonts w:asciiTheme="minorBidi" w:hAnsiTheme="minorBidi" w:cstheme="minorBidi"/>
          <w:color w:val="000000" w:themeColor="text1"/>
          <w:sz w:val="24"/>
          <w:szCs w:val="24"/>
          <w:lang w:val="en-GB"/>
        </w:rPr>
      </w:pPr>
      <w:r w:rsidRPr="00430992">
        <w:rPr>
          <w:rFonts w:asciiTheme="minorBidi" w:hAnsiTheme="minorBidi" w:cstheme="minorBidi"/>
          <w:color w:val="000000" w:themeColor="text1"/>
          <w:sz w:val="24"/>
          <w:szCs w:val="24"/>
          <w:lang w:val="en-GB"/>
        </w:rPr>
        <w:t xml:space="preserve">Under the Fifth Directive, </w:t>
      </w:r>
      <w:proofErr w:type="spellStart"/>
      <w:r w:rsidRPr="00430992">
        <w:rPr>
          <w:rFonts w:asciiTheme="minorBidi" w:hAnsiTheme="minorBidi" w:cstheme="minorBidi"/>
          <w:color w:val="000000" w:themeColor="text1"/>
          <w:sz w:val="24"/>
          <w:szCs w:val="24"/>
          <w:lang w:val="en-GB"/>
        </w:rPr>
        <w:t>crypto</w:t>
      </w:r>
      <w:r w:rsidR="009865D4" w:rsidRPr="00430992">
        <w:rPr>
          <w:rFonts w:asciiTheme="minorBidi" w:hAnsiTheme="minorBidi" w:cstheme="minorBidi"/>
          <w:color w:val="000000" w:themeColor="text1"/>
          <w:sz w:val="24"/>
          <w:szCs w:val="24"/>
          <w:lang w:val="en-GB"/>
        </w:rPr>
        <w:t>a</w:t>
      </w:r>
      <w:r w:rsidRPr="00430992">
        <w:rPr>
          <w:rFonts w:asciiTheme="minorBidi" w:hAnsiTheme="minorBidi" w:cstheme="minorBidi"/>
          <w:color w:val="000000" w:themeColor="text1"/>
          <w:sz w:val="24"/>
          <w:szCs w:val="24"/>
          <w:lang w:val="en-GB"/>
        </w:rPr>
        <w:t>ssets</w:t>
      </w:r>
      <w:proofErr w:type="spellEnd"/>
      <w:r w:rsidRPr="00430992">
        <w:rPr>
          <w:rFonts w:asciiTheme="minorBidi" w:hAnsiTheme="minorBidi" w:cstheme="minorBidi"/>
          <w:color w:val="000000" w:themeColor="text1"/>
          <w:sz w:val="24"/>
          <w:szCs w:val="24"/>
          <w:lang w:val="en-GB"/>
        </w:rPr>
        <w:t xml:space="preserve"> (also known as cryptocurrencies) face more stringent controls, with exchanges being required to register with the relevant authorities in their jurisdictions, conduct customer due diligence, and prepare suspicious activity reports where these are deemed necessary.</w:t>
      </w:r>
    </w:p>
    <w:p w14:paraId="0CC4FC26" w14:textId="66225423" w:rsidR="00344A2A" w:rsidRPr="00430992" w:rsidRDefault="00344A2A" w:rsidP="00430992">
      <w:pPr>
        <w:spacing w:before="240" w:line="240" w:lineRule="auto"/>
        <w:rPr>
          <w:rFonts w:asciiTheme="minorBidi" w:hAnsiTheme="minorBidi" w:cstheme="minorBidi"/>
          <w:color w:val="000000" w:themeColor="text1"/>
          <w:sz w:val="24"/>
          <w:szCs w:val="24"/>
          <w:lang w:val="en-GB"/>
        </w:rPr>
      </w:pPr>
      <w:r w:rsidRPr="00430992">
        <w:rPr>
          <w:rFonts w:asciiTheme="minorBidi" w:hAnsiTheme="minorBidi" w:cstheme="minorBidi"/>
          <w:color w:val="000000" w:themeColor="text1"/>
          <w:sz w:val="24"/>
          <w:szCs w:val="24"/>
          <w:lang w:val="en-GB"/>
        </w:rPr>
        <w:t>Financial Intelligence Units (FIUs) are required to keep records — including names and addresses — of those purchasing virtual currency.</w:t>
      </w:r>
    </w:p>
    <w:p w14:paraId="25A51B61" w14:textId="4E02AB77" w:rsidR="00344A2A" w:rsidRPr="006568E3" w:rsidRDefault="00344A2A" w:rsidP="00430992">
      <w:pPr>
        <w:spacing w:before="240" w:line="240" w:lineRule="auto"/>
        <w:rPr>
          <w:rFonts w:ascii="Times New Roman" w:hAnsi="Times New Roman"/>
          <w:sz w:val="24"/>
          <w:szCs w:val="24"/>
          <w:lang w:val="en-GB"/>
        </w:rPr>
      </w:pPr>
      <w:r w:rsidRPr="006568E3">
        <w:rPr>
          <w:rFonts w:ascii="Arial" w:hAnsi="Arial" w:cs="Arial"/>
          <w:sz w:val="24"/>
          <w:szCs w:val="24"/>
          <w:lang w:val="en-GB"/>
        </w:rPr>
        <w:t xml:space="preserve">The Fifth Directive covers two types of </w:t>
      </w:r>
      <w:proofErr w:type="spellStart"/>
      <w:r w:rsidRPr="006568E3">
        <w:rPr>
          <w:rFonts w:ascii="Arial" w:hAnsi="Arial" w:cs="Arial"/>
          <w:sz w:val="24"/>
          <w:szCs w:val="24"/>
          <w:lang w:val="en-GB"/>
        </w:rPr>
        <w:t>cryptoasset</w:t>
      </w:r>
      <w:proofErr w:type="spellEnd"/>
      <w:r w:rsidRPr="006568E3">
        <w:rPr>
          <w:rFonts w:ascii="Arial" w:hAnsi="Arial" w:cs="Arial"/>
          <w:sz w:val="24"/>
          <w:szCs w:val="24"/>
          <w:lang w:val="en-GB"/>
        </w:rPr>
        <w:t xml:space="preserve"> business:</w:t>
      </w:r>
    </w:p>
    <w:p w14:paraId="4A182B2F" w14:textId="77777777" w:rsidR="00344A2A" w:rsidRPr="006568E3" w:rsidRDefault="00344A2A" w:rsidP="00430992">
      <w:pPr>
        <w:numPr>
          <w:ilvl w:val="0"/>
          <w:numId w:val="50"/>
        </w:numPr>
        <w:spacing w:before="240" w:line="240" w:lineRule="auto"/>
        <w:textAlignment w:val="baseline"/>
        <w:rPr>
          <w:rFonts w:ascii="Arial" w:hAnsi="Arial" w:cs="Arial"/>
          <w:sz w:val="24"/>
          <w:szCs w:val="24"/>
          <w:lang w:val="en-GB"/>
        </w:rPr>
      </w:pPr>
      <w:r w:rsidRPr="006568E3">
        <w:rPr>
          <w:rFonts w:ascii="Arial" w:hAnsi="Arial" w:cs="Arial"/>
          <w:sz w:val="24"/>
          <w:szCs w:val="24"/>
          <w:lang w:val="en-GB"/>
        </w:rPr>
        <w:t>Providers engaged in exchange services between virtual currencies and fiat currencies i.e. cryptocurrency exchanges</w:t>
      </w:r>
    </w:p>
    <w:p w14:paraId="7F6A94A2" w14:textId="142F10DA" w:rsidR="00344A2A" w:rsidRPr="00430992" w:rsidRDefault="00344A2A" w:rsidP="00430992">
      <w:pPr>
        <w:numPr>
          <w:ilvl w:val="0"/>
          <w:numId w:val="50"/>
        </w:numPr>
        <w:spacing w:before="240" w:line="240" w:lineRule="auto"/>
        <w:textAlignment w:val="baseline"/>
        <w:rPr>
          <w:rFonts w:ascii="Arial" w:hAnsi="Arial" w:cs="Arial"/>
          <w:sz w:val="24"/>
          <w:szCs w:val="24"/>
          <w:lang w:val="en-GB"/>
        </w:rPr>
      </w:pPr>
      <w:r w:rsidRPr="006568E3">
        <w:rPr>
          <w:rFonts w:ascii="Arial" w:hAnsi="Arial" w:cs="Arial"/>
          <w:sz w:val="24"/>
          <w:szCs w:val="24"/>
          <w:lang w:val="en-GB"/>
        </w:rPr>
        <w:t>Custodian wallet providers i.e. cryptocurrency wallet services where the service holds its users’ private keys</w:t>
      </w:r>
    </w:p>
    <w:p w14:paraId="5198F92C" w14:textId="5BB70203" w:rsidR="00AA307A" w:rsidRPr="006568E3" w:rsidRDefault="00344A2A" w:rsidP="00430992">
      <w:pPr>
        <w:spacing w:before="240" w:line="240" w:lineRule="auto"/>
        <w:rPr>
          <w:rFonts w:ascii="Times New Roman" w:hAnsi="Times New Roman"/>
          <w:sz w:val="24"/>
          <w:szCs w:val="24"/>
          <w:lang w:val="en-GB"/>
        </w:rPr>
      </w:pPr>
      <w:r w:rsidRPr="006568E3">
        <w:rPr>
          <w:rFonts w:ascii="Arial" w:hAnsi="Arial" w:cs="Arial"/>
          <w:sz w:val="24"/>
          <w:szCs w:val="24"/>
          <w:lang w:val="en-GB"/>
        </w:rPr>
        <w:lastRenderedPageBreak/>
        <w:t xml:space="preserve">These categories of business are obliged entities for AML purposes, </w:t>
      </w:r>
      <w:proofErr w:type="gramStart"/>
      <w:r w:rsidRPr="006568E3">
        <w:rPr>
          <w:rFonts w:ascii="Arial" w:hAnsi="Arial" w:cs="Arial"/>
          <w:sz w:val="24"/>
          <w:szCs w:val="24"/>
          <w:lang w:val="en-GB"/>
        </w:rPr>
        <w:t>similar to</w:t>
      </w:r>
      <w:proofErr w:type="gramEnd"/>
      <w:r w:rsidRPr="006568E3">
        <w:rPr>
          <w:rFonts w:ascii="Arial" w:hAnsi="Arial" w:cs="Arial"/>
          <w:sz w:val="24"/>
          <w:szCs w:val="24"/>
          <w:lang w:val="en-GB"/>
        </w:rPr>
        <w:t xml:space="preserve"> traditional financial institutions such as banks. They are obligated to implement measures to counter money laundering and terrorist fundraising, such as customer due diligence and transaction monitoring. They are also required to maintain comprehensive records and report suspicious transactions.</w:t>
      </w:r>
    </w:p>
    <w:sectPr w:rsidR="00AA307A" w:rsidRPr="006568E3" w:rsidSect="00812653">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D4D236" w14:textId="77777777" w:rsidR="00CD0B80" w:rsidRDefault="00CD0B80" w:rsidP="00D718B5">
      <w:pPr>
        <w:spacing w:line="240" w:lineRule="auto"/>
      </w:pPr>
      <w:r>
        <w:separator/>
      </w:r>
    </w:p>
  </w:endnote>
  <w:endnote w:type="continuationSeparator" w:id="0">
    <w:p w14:paraId="0B5ED158" w14:textId="77777777" w:rsidR="00CD0B80" w:rsidRDefault="00CD0B80" w:rsidP="00D718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Sylfae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F43607" w14:textId="77777777" w:rsidR="00CD0B80" w:rsidRDefault="00CD0B80" w:rsidP="00D718B5">
      <w:pPr>
        <w:spacing w:line="240" w:lineRule="auto"/>
      </w:pPr>
      <w:r>
        <w:separator/>
      </w:r>
    </w:p>
  </w:footnote>
  <w:footnote w:type="continuationSeparator" w:id="0">
    <w:p w14:paraId="23105C85" w14:textId="77777777" w:rsidR="00CD0B80" w:rsidRDefault="00CD0B80" w:rsidP="00D718B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FA3C7" w14:textId="51A3A6A1" w:rsidR="00D718B5" w:rsidRDefault="00C72646">
    <w:pPr>
      <w:pStyle w:val="Header"/>
    </w:pPr>
    <w:r>
      <w:rPr>
        <w:noProof/>
      </w:rPr>
      <w:drawing>
        <wp:anchor distT="0" distB="0" distL="114300" distR="114300" simplePos="0" relativeHeight="251659776" behindDoc="0" locked="0" layoutInCell="1" allowOverlap="1" wp14:anchorId="0E3C5598" wp14:editId="788929A1">
          <wp:simplePos x="0" y="0"/>
          <wp:positionH relativeFrom="page">
            <wp:posOffset>25400</wp:posOffset>
          </wp:positionH>
          <wp:positionV relativeFrom="paragraph">
            <wp:posOffset>-648335</wp:posOffset>
          </wp:positionV>
          <wp:extent cx="7557135" cy="984250"/>
          <wp:effectExtent l="0" t="0" r="0" b="6350"/>
          <wp:wrapNone/>
          <wp:docPr id="1" name="Picture 1" descr="letterhead-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uk"/>
                  <pic:cNvPicPr>
                    <a:picLocks noChangeAspect="1" noChangeArrowheads="1"/>
                  </pic:cNvPicPr>
                </pic:nvPicPr>
                <pic:blipFill>
                  <a:blip r:embed="rId1">
                    <a:extLst>
                      <a:ext uri="{28A0092B-C50C-407E-A947-70E740481C1C}">
                        <a14:useLocalDpi xmlns:a14="http://schemas.microsoft.com/office/drawing/2010/main" val="0"/>
                      </a:ext>
                    </a:extLst>
                  </a:blip>
                  <a:srcRect b="54465"/>
                  <a:stretch>
                    <a:fillRect/>
                  </a:stretch>
                </pic:blipFill>
                <pic:spPr bwMode="auto">
                  <a:xfrm>
                    <a:off x="0" y="0"/>
                    <a:ext cx="7557135" cy="9842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B7000"/>
    <w:multiLevelType w:val="hybridMultilevel"/>
    <w:tmpl w:val="DBB069FC"/>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 w15:restartNumberingAfterBreak="0">
    <w:nsid w:val="05BF12F8"/>
    <w:multiLevelType w:val="hybridMultilevel"/>
    <w:tmpl w:val="D30E6F8A"/>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 w15:restartNumberingAfterBreak="0">
    <w:nsid w:val="0CB83235"/>
    <w:multiLevelType w:val="hybridMultilevel"/>
    <w:tmpl w:val="C526E06C"/>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3" w15:restartNumberingAfterBreak="0">
    <w:nsid w:val="10DC0373"/>
    <w:multiLevelType w:val="hybridMultilevel"/>
    <w:tmpl w:val="0C264B58"/>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4" w15:restartNumberingAfterBreak="0">
    <w:nsid w:val="1AE0287B"/>
    <w:multiLevelType w:val="multilevel"/>
    <w:tmpl w:val="5A78169A"/>
    <w:lvl w:ilvl="0">
      <w:start w:val="1"/>
      <w:numFmt w:val="decimal"/>
      <w:lvlText w:val=""/>
      <w:lvlJc w:val="right"/>
      <w:pPr>
        <w:ind w:left="320" w:hanging="1"/>
      </w:pPr>
    </w:lvl>
    <w:lvl w:ilvl="1">
      <w:start w:val="1"/>
      <w:numFmt w:val="decimal"/>
      <w:lvlText w:val=""/>
      <w:lvlJc w:val="right"/>
      <w:pPr>
        <w:ind w:left="1040" w:hanging="1"/>
      </w:pPr>
    </w:lvl>
    <w:lvl w:ilvl="2">
      <w:start w:val="1"/>
      <w:numFmt w:val="decimal"/>
      <w:lvlText w:val=""/>
      <w:lvlJc w:val="right"/>
      <w:pPr>
        <w:ind w:left="1760" w:hanging="1"/>
      </w:pPr>
    </w:lvl>
    <w:lvl w:ilvl="3">
      <w:start w:val="1"/>
      <w:numFmt w:val="decimal"/>
      <w:lvlText w:val=""/>
      <w:lvlJc w:val="right"/>
      <w:pPr>
        <w:ind w:left="2480" w:hanging="1"/>
      </w:pPr>
    </w:lvl>
    <w:lvl w:ilvl="4">
      <w:start w:val="1"/>
      <w:numFmt w:val="decimal"/>
      <w:lvlText w:val=""/>
      <w:lvlJc w:val="right"/>
      <w:pPr>
        <w:ind w:left="3200" w:hanging="1"/>
      </w:pPr>
    </w:lvl>
    <w:lvl w:ilvl="5">
      <w:start w:val="1"/>
      <w:numFmt w:val="decimal"/>
      <w:lvlText w:val=""/>
      <w:lvlJc w:val="right"/>
      <w:pPr>
        <w:ind w:left="3920" w:hanging="1"/>
      </w:pPr>
    </w:lvl>
    <w:lvl w:ilvl="6">
      <w:start w:val="1"/>
      <w:numFmt w:val="decimal"/>
      <w:lvlText w:val=""/>
      <w:lvlJc w:val="right"/>
      <w:pPr>
        <w:ind w:left="4640" w:hanging="1"/>
      </w:pPr>
    </w:lvl>
    <w:lvl w:ilvl="7">
      <w:start w:val="1"/>
      <w:numFmt w:val="decimal"/>
      <w:lvlText w:val=""/>
      <w:lvlJc w:val="right"/>
      <w:pPr>
        <w:ind w:left="5360" w:hanging="1"/>
      </w:pPr>
    </w:lvl>
    <w:lvl w:ilvl="8">
      <w:start w:val="1"/>
      <w:numFmt w:val="decimal"/>
      <w:lvlText w:val=""/>
      <w:lvlJc w:val="right"/>
      <w:pPr>
        <w:ind w:left="6080" w:hanging="1"/>
      </w:pPr>
    </w:lvl>
  </w:abstractNum>
  <w:abstractNum w:abstractNumId="5" w15:restartNumberingAfterBreak="0">
    <w:nsid w:val="2B203674"/>
    <w:multiLevelType w:val="hybridMultilevel"/>
    <w:tmpl w:val="763ECBC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2BFC0D84"/>
    <w:multiLevelType w:val="hybridMultilevel"/>
    <w:tmpl w:val="73004844"/>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7" w15:restartNumberingAfterBreak="0">
    <w:nsid w:val="47C937A8"/>
    <w:multiLevelType w:val="hybridMultilevel"/>
    <w:tmpl w:val="B82037AC"/>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8" w15:restartNumberingAfterBreak="0">
    <w:nsid w:val="5EB75A4E"/>
    <w:multiLevelType w:val="hybridMultilevel"/>
    <w:tmpl w:val="39AE3EB4"/>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9" w15:restartNumberingAfterBreak="0">
    <w:nsid w:val="67DC3A59"/>
    <w:multiLevelType w:val="hybridMultilevel"/>
    <w:tmpl w:val="38DA8FCA"/>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0" w15:restartNumberingAfterBreak="0">
    <w:nsid w:val="747E498E"/>
    <w:multiLevelType w:val="hybridMultilevel"/>
    <w:tmpl w:val="43F43D30"/>
    <w:lvl w:ilvl="0" w:tplc="04090001">
      <w:start w:val="1"/>
      <w:numFmt w:val="bullet"/>
      <w:lvlText w:val=""/>
      <w:lvlJc w:val="left"/>
      <w:pPr>
        <w:ind w:left="320" w:hanging="230"/>
      </w:pPr>
      <w:rPr>
        <w:rFonts w:ascii="Symbol" w:hAnsi="Symbol" w:hint="default"/>
      </w:rPr>
    </w:lvl>
    <w:lvl w:ilvl="1" w:tplc="04090003">
      <w:start w:val="1"/>
      <w:numFmt w:val="bullet"/>
      <w:lvlText w:val=""/>
      <w:lvlJc w:val="left"/>
      <w:pPr>
        <w:ind w:left="1040" w:hanging="230"/>
      </w:pPr>
      <w:rPr>
        <w:rFonts w:ascii="Symbol" w:hAnsi="Symbol" w:hint="default"/>
      </w:rPr>
    </w:lvl>
    <w:lvl w:ilvl="2" w:tplc="04090005">
      <w:start w:val="1"/>
      <w:numFmt w:val="bullet"/>
      <w:lvlText w:val=""/>
      <w:lvlJc w:val="left"/>
      <w:pPr>
        <w:ind w:left="1760" w:hanging="230"/>
      </w:pPr>
      <w:rPr>
        <w:rFonts w:ascii="Symbol" w:hAnsi="Symbol" w:hint="default"/>
      </w:rPr>
    </w:lvl>
    <w:lvl w:ilvl="3" w:tplc="04090001" w:tentative="1">
      <w:start w:val="1"/>
      <w:numFmt w:val="bullet"/>
      <w:lvlText w:val=""/>
      <w:lvlJc w:val="left"/>
      <w:pPr>
        <w:ind w:left="2480" w:hanging="230"/>
      </w:pPr>
      <w:rPr>
        <w:rFonts w:ascii="Symbol" w:hAnsi="Symbol" w:hint="default"/>
      </w:rPr>
    </w:lvl>
    <w:lvl w:ilvl="4" w:tplc="04090003" w:tentative="1">
      <w:start w:val="1"/>
      <w:numFmt w:val="bullet"/>
      <w:lvlText w:val=""/>
      <w:lvlJc w:val="left"/>
      <w:pPr>
        <w:ind w:left="3200" w:hanging="230"/>
      </w:pPr>
      <w:rPr>
        <w:rFonts w:ascii="Symbol" w:hAnsi="Symbol" w:hint="default"/>
      </w:rPr>
    </w:lvl>
    <w:lvl w:ilvl="5" w:tplc="04090005" w:tentative="1">
      <w:start w:val="1"/>
      <w:numFmt w:val="bullet"/>
      <w:lvlText w:val=""/>
      <w:lvlJc w:val="left"/>
      <w:pPr>
        <w:ind w:left="3920" w:hanging="230"/>
      </w:pPr>
      <w:rPr>
        <w:rFonts w:ascii="Symbol" w:hAnsi="Symbol" w:hint="default"/>
      </w:rPr>
    </w:lvl>
    <w:lvl w:ilvl="6" w:tplc="04090001" w:tentative="1">
      <w:start w:val="1"/>
      <w:numFmt w:val="bullet"/>
      <w:lvlText w:val=""/>
      <w:lvlJc w:val="left"/>
      <w:pPr>
        <w:ind w:left="4640" w:hanging="230"/>
      </w:pPr>
      <w:rPr>
        <w:rFonts w:ascii="Symbol" w:hAnsi="Symbol" w:hint="default"/>
      </w:rPr>
    </w:lvl>
    <w:lvl w:ilvl="7" w:tplc="04090003" w:tentative="1">
      <w:start w:val="1"/>
      <w:numFmt w:val="bullet"/>
      <w:lvlText w:val=""/>
      <w:lvlJc w:val="left"/>
      <w:pPr>
        <w:ind w:left="5360" w:hanging="230"/>
      </w:pPr>
      <w:rPr>
        <w:rFonts w:ascii="Symbol" w:hAnsi="Symbol" w:hint="default"/>
      </w:rPr>
    </w:lvl>
    <w:lvl w:ilvl="8" w:tplc="04090005" w:tentative="1">
      <w:start w:val="1"/>
      <w:numFmt w:val="bullet"/>
      <w:lvlText w:val=""/>
      <w:lvlJc w:val="left"/>
      <w:pPr>
        <w:ind w:left="6080" w:hanging="230"/>
      </w:pPr>
      <w:rPr>
        <w:rFonts w:ascii="Symbol" w:hAnsi="Symbol" w:hint="default"/>
      </w:rPr>
    </w:lvl>
  </w:abstractNum>
  <w:abstractNum w:abstractNumId="11" w15:restartNumberingAfterBreak="0">
    <w:nsid w:val="74B64465"/>
    <w:multiLevelType w:val="hybridMultilevel"/>
    <w:tmpl w:val="2C40FA8C"/>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2" w15:restartNumberingAfterBreak="0">
    <w:nsid w:val="7C7E3E43"/>
    <w:multiLevelType w:val="hybridMultilevel"/>
    <w:tmpl w:val="AA6C8688"/>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3" w15:restartNumberingAfterBreak="0">
    <w:nsid w:val="7E512A84"/>
    <w:multiLevelType w:val="multilevel"/>
    <w:tmpl w:val="693A5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lvlOverride w:ilvl="0">
      <w:lvl w:ilvl="0">
        <w:numFmt w:val="decimal"/>
        <w:lvlText w:val=""/>
        <w:lvlJc w:val="right"/>
        <w:pPr>
          <w:ind w:left="320" w:hanging="1"/>
        </w:pPr>
      </w:lvl>
    </w:lvlOverride>
  </w:num>
  <w:num w:numId="2">
    <w:abstractNumId w:val="4"/>
    <w:lvlOverride w:ilvl="1">
      <w:lvl w:ilvl="1">
        <w:numFmt w:val="decimal"/>
        <w:lvlText w:val=""/>
        <w:lvlJc w:val="right"/>
        <w:pPr>
          <w:ind w:left="1040" w:hanging="1"/>
        </w:pPr>
      </w:lvl>
    </w:lvlOverride>
  </w:num>
  <w:num w:numId="3">
    <w:abstractNumId w:val="4"/>
    <w:lvlOverride w:ilvl="2">
      <w:lvl w:ilvl="2">
        <w:numFmt w:val="decimal"/>
        <w:lvlText w:val=""/>
        <w:lvlJc w:val="right"/>
        <w:pPr>
          <w:ind w:left="1760" w:hanging="1"/>
        </w:pPr>
      </w:lvl>
    </w:lvlOverride>
  </w:num>
  <w:num w:numId="4">
    <w:abstractNumId w:val="4"/>
    <w:lvlOverride w:ilvl="3">
      <w:lvl w:ilvl="3">
        <w:numFmt w:val="decimal"/>
        <w:lvlText w:val=""/>
        <w:lvlJc w:val="right"/>
        <w:pPr>
          <w:ind w:left="2480" w:hanging="1"/>
        </w:pPr>
      </w:lvl>
    </w:lvlOverride>
  </w:num>
  <w:num w:numId="5">
    <w:abstractNumId w:val="4"/>
    <w:lvlOverride w:ilvl="2">
      <w:lvl w:ilvl="2">
        <w:numFmt w:val="decimal"/>
        <w:lvlText w:val=""/>
        <w:lvlJc w:val="right"/>
        <w:pPr>
          <w:ind w:left="1760" w:hanging="1"/>
        </w:pPr>
      </w:lvl>
    </w:lvlOverride>
  </w:num>
  <w:num w:numId="6">
    <w:abstractNumId w:val="4"/>
    <w:lvlOverride w:ilvl="3">
      <w:lvl w:ilvl="3">
        <w:numFmt w:val="decimal"/>
        <w:lvlText w:val=""/>
        <w:lvlJc w:val="right"/>
        <w:pPr>
          <w:ind w:left="2480" w:hanging="1"/>
        </w:pPr>
      </w:lvl>
    </w:lvlOverride>
  </w:num>
  <w:num w:numId="7">
    <w:abstractNumId w:val="4"/>
    <w:lvlOverride w:ilvl="3">
      <w:lvl w:ilvl="3">
        <w:numFmt w:val="decimal"/>
        <w:lvlText w:val=""/>
        <w:lvlJc w:val="right"/>
        <w:pPr>
          <w:ind w:left="2480" w:hanging="1"/>
        </w:pPr>
      </w:lvl>
    </w:lvlOverride>
  </w:num>
  <w:num w:numId="8">
    <w:abstractNumId w:val="4"/>
    <w:lvlOverride w:ilvl="2">
      <w:lvl w:ilvl="2">
        <w:numFmt w:val="decimal"/>
        <w:lvlText w:val=""/>
        <w:lvlJc w:val="right"/>
        <w:pPr>
          <w:ind w:left="1760" w:hanging="1"/>
        </w:pPr>
      </w:lvl>
    </w:lvlOverride>
  </w:num>
  <w:num w:numId="9">
    <w:abstractNumId w:val="4"/>
    <w:lvlOverride w:ilvl="3">
      <w:lvl w:ilvl="3">
        <w:numFmt w:val="decimal"/>
        <w:lvlText w:val=""/>
        <w:lvlJc w:val="right"/>
        <w:pPr>
          <w:ind w:left="2480" w:hanging="1"/>
        </w:pPr>
      </w:lvl>
    </w:lvlOverride>
  </w:num>
  <w:num w:numId="10">
    <w:abstractNumId w:val="4"/>
    <w:lvlOverride w:ilvl="4">
      <w:lvl w:ilvl="4">
        <w:numFmt w:val="decimal"/>
        <w:lvlText w:val=""/>
        <w:lvlJc w:val="right"/>
        <w:pPr>
          <w:ind w:left="3200" w:hanging="1"/>
        </w:pPr>
      </w:lvl>
    </w:lvlOverride>
  </w:num>
  <w:num w:numId="11">
    <w:abstractNumId w:val="4"/>
    <w:lvlOverride w:ilvl="5">
      <w:lvl w:ilvl="5">
        <w:numFmt w:val="decimal"/>
        <w:lvlText w:val=""/>
        <w:lvlJc w:val="right"/>
        <w:pPr>
          <w:ind w:left="3920" w:hanging="1"/>
        </w:pPr>
      </w:lvl>
    </w:lvlOverride>
  </w:num>
  <w:num w:numId="12">
    <w:abstractNumId w:val="4"/>
    <w:lvlOverride w:ilvl="5">
      <w:lvl w:ilvl="5">
        <w:numFmt w:val="decimal"/>
        <w:lvlText w:val=""/>
        <w:lvlJc w:val="right"/>
        <w:pPr>
          <w:ind w:left="3920" w:hanging="1"/>
        </w:pPr>
      </w:lvl>
    </w:lvlOverride>
  </w:num>
  <w:num w:numId="13">
    <w:abstractNumId w:val="4"/>
    <w:lvlOverride w:ilvl="4">
      <w:lvl w:ilvl="4">
        <w:numFmt w:val="decimal"/>
        <w:lvlText w:val=""/>
        <w:lvlJc w:val="right"/>
        <w:pPr>
          <w:ind w:left="3200" w:hanging="1"/>
        </w:pPr>
      </w:lvl>
    </w:lvlOverride>
  </w:num>
  <w:num w:numId="14">
    <w:abstractNumId w:val="4"/>
    <w:lvlOverride w:ilvl="5">
      <w:lvl w:ilvl="5">
        <w:numFmt w:val="decimal"/>
        <w:lvlText w:val=""/>
        <w:lvlJc w:val="right"/>
        <w:pPr>
          <w:ind w:left="3920" w:hanging="1"/>
        </w:pPr>
      </w:lvl>
    </w:lvlOverride>
  </w:num>
  <w:num w:numId="15">
    <w:abstractNumId w:val="4"/>
    <w:lvlOverride w:ilvl="5">
      <w:lvl w:ilvl="5">
        <w:numFmt w:val="decimal"/>
        <w:lvlText w:val=""/>
        <w:lvlJc w:val="right"/>
        <w:pPr>
          <w:ind w:left="3920" w:hanging="1"/>
        </w:pPr>
      </w:lvl>
    </w:lvlOverride>
  </w:num>
  <w:num w:numId="16">
    <w:abstractNumId w:val="4"/>
    <w:lvlOverride w:ilvl="5">
      <w:lvl w:ilvl="5">
        <w:numFmt w:val="decimal"/>
        <w:lvlText w:val=""/>
        <w:lvlJc w:val="right"/>
        <w:pPr>
          <w:ind w:left="3920" w:hanging="1"/>
        </w:pPr>
      </w:lvl>
    </w:lvlOverride>
  </w:num>
  <w:num w:numId="17">
    <w:abstractNumId w:val="4"/>
    <w:lvlOverride w:ilvl="2">
      <w:lvl w:ilvl="2">
        <w:numFmt w:val="decimal"/>
        <w:lvlText w:val=""/>
        <w:lvlJc w:val="right"/>
        <w:pPr>
          <w:ind w:left="1760" w:hanging="1"/>
        </w:pPr>
      </w:lvl>
    </w:lvlOverride>
  </w:num>
  <w:num w:numId="18">
    <w:abstractNumId w:val="4"/>
    <w:lvlOverride w:ilvl="3">
      <w:lvl w:ilvl="3">
        <w:numFmt w:val="decimal"/>
        <w:lvlText w:val=""/>
        <w:lvlJc w:val="right"/>
        <w:pPr>
          <w:ind w:left="2480" w:hanging="1"/>
        </w:pPr>
      </w:lvl>
    </w:lvlOverride>
  </w:num>
  <w:num w:numId="19">
    <w:abstractNumId w:val="4"/>
    <w:lvlOverride w:ilvl="3">
      <w:lvl w:ilvl="3">
        <w:numFmt w:val="decimal"/>
        <w:lvlText w:val=""/>
        <w:lvlJc w:val="right"/>
        <w:pPr>
          <w:ind w:left="2480" w:hanging="1"/>
        </w:pPr>
      </w:lvl>
    </w:lvlOverride>
  </w:num>
  <w:num w:numId="20">
    <w:abstractNumId w:val="4"/>
    <w:lvlOverride w:ilvl="3">
      <w:lvl w:ilvl="3">
        <w:numFmt w:val="decimal"/>
        <w:lvlText w:val=""/>
        <w:lvlJc w:val="right"/>
        <w:pPr>
          <w:ind w:left="2480" w:hanging="1"/>
        </w:pPr>
      </w:lvl>
    </w:lvlOverride>
  </w:num>
  <w:num w:numId="21">
    <w:abstractNumId w:val="4"/>
    <w:lvlOverride w:ilvl="0">
      <w:lvl w:ilvl="0">
        <w:numFmt w:val="decimal"/>
        <w:lvlText w:val=""/>
        <w:lvlJc w:val="right"/>
        <w:pPr>
          <w:ind w:left="320" w:hanging="1"/>
        </w:pPr>
      </w:lvl>
    </w:lvlOverride>
  </w:num>
  <w:num w:numId="22">
    <w:abstractNumId w:val="4"/>
    <w:lvlOverride w:ilvl="1">
      <w:lvl w:ilvl="1">
        <w:numFmt w:val="decimal"/>
        <w:lvlText w:val=""/>
        <w:lvlJc w:val="right"/>
        <w:pPr>
          <w:ind w:left="1040" w:hanging="1"/>
        </w:pPr>
      </w:lvl>
    </w:lvlOverride>
  </w:num>
  <w:num w:numId="23">
    <w:abstractNumId w:val="4"/>
    <w:lvlOverride w:ilvl="2">
      <w:lvl w:ilvl="2">
        <w:numFmt w:val="decimal"/>
        <w:lvlText w:val=""/>
        <w:lvlJc w:val="right"/>
        <w:pPr>
          <w:ind w:left="1760" w:hanging="1"/>
        </w:pPr>
      </w:lvl>
    </w:lvlOverride>
  </w:num>
  <w:num w:numId="24">
    <w:abstractNumId w:val="4"/>
    <w:lvlOverride w:ilvl="3">
      <w:lvl w:ilvl="3">
        <w:numFmt w:val="decimal"/>
        <w:lvlText w:val=""/>
        <w:lvlJc w:val="right"/>
        <w:pPr>
          <w:ind w:left="2480" w:hanging="1"/>
        </w:pPr>
      </w:lvl>
    </w:lvlOverride>
  </w:num>
  <w:num w:numId="25">
    <w:abstractNumId w:val="4"/>
    <w:lvlOverride w:ilvl="1">
      <w:lvl w:ilvl="1">
        <w:numFmt w:val="decimal"/>
        <w:lvlText w:val=""/>
        <w:lvlJc w:val="right"/>
        <w:pPr>
          <w:ind w:left="1040" w:hanging="1"/>
        </w:pPr>
      </w:lvl>
    </w:lvlOverride>
  </w:num>
  <w:num w:numId="26">
    <w:abstractNumId w:val="4"/>
    <w:lvlOverride w:ilvl="2">
      <w:lvl w:ilvl="2">
        <w:numFmt w:val="decimal"/>
        <w:lvlText w:val=""/>
        <w:lvlJc w:val="right"/>
        <w:pPr>
          <w:ind w:left="1760" w:hanging="1"/>
        </w:pPr>
      </w:lvl>
    </w:lvlOverride>
  </w:num>
  <w:num w:numId="27">
    <w:abstractNumId w:val="4"/>
    <w:lvlOverride w:ilvl="2">
      <w:lvl w:ilvl="2">
        <w:numFmt w:val="decimal"/>
        <w:lvlText w:val=""/>
        <w:lvlJc w:val="right"/>
        <w:pPr>
          <w:ind w:left="1760" w:hanging="1"/>
        </w:pPr>
      </w:lvl>
    </w:lvlOverride>
  </w:num>
  <w:num w:numId="28">
    <w:abstractNumId w:val="4"/>
    <w:lvlOverride w:ilvl="0">
      <w:lvl w:ilvl="0">
        <w:numFmt w:val="decimal"/>
        <w:lvlText w:val=""/>
        <w:lvlJc w:val="right"/>
        <w:pPr>
          <w:ind w:left="320" w:hanging="1"/>
        </w:pPr>
      </w:lvl>
    </w:lvlOverride>
  </w:num>
  <w:num w:numId="29">
    <w:abstractNumId w:val="4"/>
    <w:lvlOverride w:ilvl="1">
      <w:lvl w:ilvl="1">
        <w:numFmt w:val="decimal"/>
        <w:lvlText w:val=""/>
        <w:lvlJc w:val="right"/>
        <w:pPr>
          <w:ind w:left="1040" w:hanging="1"/>
        </w:pPr>
      </w:lvl>
    </w:lvlOverride>
  </w:num>
  <w:num w:numId="30">
    <w:abstractNumId w:val="4"/>
    <w:lvlOverride w:ilvl="2">
      <w:lvl w:ilvl="2">
        <w:numFmt w:val="decimal"/>
        <w:lvlText w:val=""/>
        <w:lvlJc w:val="right"/>
        <w:pPr>
          <w:ind w:left="1760" w:hanging="1"/>
        </w:pPr>
      </w:lvl>
    </w:lvlOverride>
  </w:num>
  <w:num w:numId="31">
    <w:abstractNumId w:val="4"/>
    <w:lvlOverride w:ilvl="1">
      <w:lvl w:ilvl="1">
        <w:numFmt w:val="decimal"/>
        <w:lvlText w:val=""/>
        <w:lvlJc w:val="right"/>
        <w:pPr>
          <w:ind w:left="1040" w:hanging="1"/>
        </w:pPr>
      </w:lvl>
    </w:lvlOverride>
  </w:num>
  <w:num w:numId="32">
    <w:abstractNumId w:val="4"/>
    <w:lvlOverride w:ilvl="2">
      <w:lvl w:ilvl="2">
        <w:numFmt w:val="decimal"/>
        <w:lvlText w:val=""/>
        <w:lvlJc w:val="right"/>
        <w:pPr>
          <w:ind w:left="1760" w:hanging="1"/>
        </w:pPr>
      </w:lvl>
    </w:lvlOverride>
  </w:num>
  <w:num w:numId="33">
    <w:abstractNumId w:val="4"/>
    <w:lvlOverride w:ilvl="0">
      <w:lvl w:ilvl="0">
        <w:numFmt w:val="decimal"/>
        <w:lvlText w:val=""/>
        <w:lvlJc w:val="right"/>
        <w:pPr>
          <w:ind w:left="320" w:hanging="1"/>
        </w:pPr>
      </w:lvl>
    </w:lvlOverride>
  </w:num>
  <w:num w:numId="34">
    <w:abstractNumId w:val="4"/>
    <w:lvlOverride w:ilvl="1">
      <w:lvl w:ilvl="1">
        <w:numFmt w:val="decimal"/>
        <w:lvlText w:val=""/>
        <w:lvlJc w:val="right"/>
        <w:pPr>
          <w:ind w:left="1040" w:hanging="1"/>
        </w:pPr>
      </w:lvl>
    </w:lvlOverride>
  </w:num>
  <w:num w:numId="35">
    <w:abstractNumId w:val="4"/>
    <w:lvlOverride w:ilvl="2">
      <w:lvl w:ilvl="2">
        <w:numFmt w:val="decimal"/>
        <w:lvlText w:val=""/>
        <w:lvlJc w:val="right"/>
        <w:pPr>
          <w:ind w:left="1760" w:hanging="1"/>
        </w:pPr>
      </w:lvl>
    </w:lvlOverride>
  </w:num>
  <w:num w:numId="36">
    <w:abstractNumId w:val="4"/>
    <w:lvlOverride w:ilvl="2">
      <w:lvl w:ilvl="2">
        <w:numFmt w:val="decimal"/>
        <w:lvlText w:val=""/>
        <w:lvlJc w:val="right"/>
        <w:pPr>
          <w:ind w:left="1760" w:hanging="1"/>
        </w:pPr>
      </w:lvl>
    </w:lvlOverride>
  </w:num>
  <w:num w:numId="37">
    <w:abstractNumId w:val="4"/>
    <w:lvlOverride w:ilvl="2">
      <w:lvl w:ilvl="2">
        <w:numFmt w:val="decimal"/>
        <w:lvlText w:val=""/>
        <w:lvlJc w:val="right"/>
        <w:pPr>
          <w:ind w:left="1760" w:hanging="1"/>
        </w:pPr>
      </w:lvl>
    </w:lvlOverride>
  </w:num>
  <w:num w:numId="38">
    <w:abstractNumId w:val="4"/>
    <w:lvlOverride w:ilvl="1">
      <w:lvl w:ilvl="1">
        <w:numFmt w:val="decimal"/>
        <w:lvlText w:val=""/>
        <w:lvlJc w:val="right"/>
        <w:pPr>
          <w:ind w:left="1040" w:hanging="1"/>
        </w:pPr>
      </w:lvl>
    </w:lvlOverride>
  </w:num>
  <w:num w:numId="39">
    <w:abstractNumId w:val="2"/>
  </w:num>
  <w:num w:numId="40">
    <w:abstractNumId w:val="3"/>
  </w:num>
  <w:num w:numId="41">
    <w:abstractNumId w:val="8"/>
  </w:num>
  <w:num w:numId="42">
    <w:abstractNumId w:val="0"/>
  </w:num>
  <w:num w:numId="43">
    <w:abstractNumId w:val="6"/>
  </w:num>
  <w:num w:numId="44">
    <w:abstractNumId w:val="11"/>
  </w:num>
  <w:num w:numId="45">
    <w:abstractNumId w:val="5"/>
  </w:num>
  <w:num w:numId="46">
    <w:abstractNumId w:val="9"/>
  </w:num>
  <w:num w:numId="47">
    <w:abstractNumId w:val="12"/>
  </w:num>
  <w:num w:numId="48">
    <w:abstractNumId w:val="7"/>
  </w:num>
  <w:num w:numId="49">
    <w:abstractNumId w:val="1"/>
  </w:num>
  <w:num w:numId="5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A307A"/>
    <w:rsid w:val="000142E2"/>
    <w:rsid w:val="0017203C"/>
    <w:rsid w:val="001B0F2B"/>
    <w:rsid w:val="002D6547"/>
    <w:rsid w:val="002E1A8A"/>
    <w:rsid w:val="00322DE0"/>
    <w:rsid w:val="00344A2A"/>
    <w:rsid w:val="00403563"/>
    <w:rsid w:val="00430992"/>
    <w:rsid w:val="0046096E"/>
    <w:rsid w:val="004F792E"/>
    <w:rsid w:val="00533D1F"/>
    <w:rsid w:val="0055661E"/>
    <w:rsid w:val="005733BC"/>
    <w:rsid w:val="00645380"/>
    <w:rsid w:val="006568E3"/>
    <w:rsid w:val="00697071"/>
    <w:rsid w:val="006F6DDD"/>
    <w:rsid w:val="007976F6"/>
    <w:rsid w:val="007B29B1"/>
    <w:rsid w:val="007C0B22"/>
    <w:rsid w:val="00812653"/>
    <w:rsid w:val="00860E30"/>
    <w:rsid w:val="00971A6F"/>
    <w:rsid w:val="009865D4"/>
    <w:rsid w:val="00995222"/>
    <w:rsid w:val="009A7926"/>
    <w:rsid w:val="00A02913"/>
    <w:rsid w:val="00AA307A"/>
    <w:rsid w:val="00AF1EF3"/>
    <w:rsid w:val="00B90783"/>
    <w:rsid w:val="00BB159A"/>
    <w:rsid w:val="00BD6951"/>
    <w:rsid w:val="00BF71F7"/>
    <w:rsid w:val="00C022E3"/>
    <w:rsid w:val="00C3506C"/>
    <w:rsid w:val="00C45790"/>
    <w:rsid w:val="00C72646"/>
    <w:rsid w:val="00CD0B80"/>
    <w:rsid w:val="00D27E2B"/>
    <w:rsid w:val="00D718B5"/>
    <w:rsid w:val="00D728F5"/>
    <w:rsid w:val="00DF72CF"/>
    <w:rsid w:val="00E62773"/>
    <w:rsid w:val="00F006F7"/>
    <w:rsid w:val="00FB480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8F86B"/>
  <w15:docId w15:val="{8D0AF680-724B-8F45-916E-FB6398E8B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GB"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64" w:lineRule="auto"/>
    </w:pPr>
    <w:rPr>
      <w:rFonts w:ascii="Helvetica Neue" w:hAnsi="Helvetica Neue"/>
      <w:color w:val="000000"/>
      <w:sz w:val="26"/>
    </w:rPr>
  </w:style>
  <w:style w:type="paragraph" w:styleId="Heading1">
    <w:name w:val="heading 1"/>
    <w:basedOn w:val="Normal"/>
    <w:uiPriority w:val="9"/>
    <w:qFormat/>
    <w:pPr>
      <w:outlineLvl w:val="0"/>
    </w:pPr>
  </w:style>
  <w:style w:type="paragraph" w:styleId="Heading2">
    <w:name w:val="heading 2"/>
    <w:basedOn w:val="Normal"/>
    <w:uiPriority w:val="9"/>
    <w:unhideWhenUsed/>
    <w:qFormat/>
    <w:rsid w:val="006F6DDD"/>
    <w:pPr>
      <w:spacing w:before="360"/>
      <w:ind w:left="720"/>
      <w:outlineLvl w:val="1"/>
    </w:pPr>
    <w:rPr>
      <w:caps/>
      <w:color w:val="414141"/>
      <w:sz w:val="36"/>
    </w:rPr>
  </w:style>
  <w:style w:type="paragraph" w:styleId="Heading3">
    <w:name w:val="heading 3"/>
    <w:basedOn w:val="Normal"/>
    <w:uiPriority w:val="9"/>
    <w:unhideWhenUsed/>
    <w:qFormat/>
    <w:rsid w:val="002D6547"/>
    <w:pPr>
      <w:spacing w:before="240"/>
      <w:ind w:left="1440"/>
      <w:outlineLvl w:val="2"/>
    </w:pPr>
    <w:rPr>
      <w:rFonts w:asciiTheme="minorBidi" w:hAnsiTheme="minorBidi" w:cstheme="minorBidi"/>
      <w:bCs/>
      <w:caps/>
      <w:color w:val="000000" w:themeColor="text1"/>
      <w:sz w:val="32"/>
    </w:rPr>
  </w:style>
  <w:style w:type="paragraph" w:styleId="Heading4">
    <w:name w:val="heading 4"/>
    <w:basedOn w:val="Normal"/>
    <w:uiPriority w:val="9"/>
    <w:unhideWhenUsed/>
    <w:qFormat/>
    <w:rsid w:val="002D6547"/>
    <w:pPr>
      <w:spacing w:before="120"/>
      <w:ind w:left="2160"/>
      <w:outlineLvl w:val="3"/>
    </w:pPr>
    <w:rPr>
      <w:rFonts w:asciiTheme="minorBidi" w:hAnsiTheme="minorBidi" w:cstheme="minorBidi"/>
      <w:b/>
      <w:bCs/>
      <w:color w:val="000000" w:themeColor="text1"/>
      <w:sz w:val="28"/>
      <w:szCs w:val="28"/>
    </w:rPr>
  </w:style>
  <w:style w:type="paragraph" w:styleId="Heading5">
    <w:name w:val="heading 5"/>
    <w:basedOn w:val="Normal"/>
    <w:uiPriority w:val="9"/>
    <w:unhideWhenUsed/>
    <w:qFormat/>
    <w:pPr>
      <w:outlineLvl w:val="4"/>
    </w:pPr>
  </w:style>
  <w:style w:type="paragraph" w:styleId="Heading6">
    <w:name w:val="heading 6"/>
    <w:basedOn w:val="Normal"/>
    <w:uiPriority w:val="9"/>
    <w:unhideWhenUsed/>
    <w:qFormat/>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Text">
    <w:name w:val="Note Text"/>
    <w:qFormat/>
    <w:rsid w:val="00BD6951"/>
    <w:pPr>
      <w:spacing w:line="264" w:lineRule="auto"/>
      <w:ind w:left="2160"/>
    </w:pPr>
    <w:rPr>
      <w:rFonts w:asciiTheme="minorBidi" w:hAnsiTheme="minorBidi" w:cstheme="minorBidi"/>
      <w:color w:val="000000" w:themeColor="text1"/>
      <w:sz w:val="24"/>
      <w:szCs w:val="24"/>
    </w:rPr>
  </w:style>
  <w:style w:type="character" w:styleId="Hyperlink">
    <w:name w:val="Hyperlink"/>
    <w:rPr>
      <w:color w:val="0563C1" w:themeColor="hyperlink"/>
      <w:u w:val="single"/>
    </w:rPr>
  </w:style>
  <w:style w:type="paragraph" w:styleId="Header">
    <w:name w:val="header"/>
    <w:basedOn w:val="Normal"/>
    <w:link w:val="HeaderChar"/>
    <w:uiPriority w:val="99"/>
    <w:unhideWhenUsed/>
    <w:rsid w:val="00D718B5"/>
    <w:pPr>
      <w:tabs>
        <w:tab w:val="center" w:pos="4513"/>
        <w:tab w:val="right" w:pos="9026"/>
      </w:tabs>
      <w:spacing w:line="240" w:lineRule="auto"/>
    </w:pPr>
  </w:style>
  <w:style w:type="character" w:customStyle="1" w:styleId="HeaderChar">
    <w:name w:val="Header Char"/>
    <w:basedOn w:val="DefaultParagraphFont"/>
    <w:link w:val="Header"/>
    <w:uiPriority w:val="99"/>
    <w:rsid w:val="00D718B5"/>
    <w:rPr>
      <w:rFonts w:ascii="Helvetica Neue" w:hAnsi="Helvetica Neue"/>
      <w:color w:val="000000"/>
      <w:sz w:val="26"/>
    </w:rPr>
  </w:style>
  <w:style w:type="paragraph" w:styleId="Footer">
    <w:name w:val="footer"/>
    <w:basedOn w:val="Normal"/>
    <w:link w:val="FooterChar"/>
    <w:uiPriority w:val="99"/>
    <w:unhideWhenUsed/>
    <w:rsid w:val="00D718B5"/>
    <w:pPr>
      <w:tabs>
        <w:tab w:val="center" w:pos="4513"/>
        <w:tab w:val="right" w:pos="9026"/>
      </w:tabs>
      <w:spacing w:line="240" w:lineRule="auto"/>
    </w:pPr>
  </w:style>
  <w:style w:type="character" w:customStyle="1" w:styleId="FooterChar">
    <w:name w:val="Footer Char"/>
    <w:basedOn w:val="DefaultParagraphFont"/>
    <w:link w:val="Footer"/>
    <w:uiPriority w:val="99"/>
    <w:rsid w:val="00D718B5"/>
    <w:rPr>
      <w:rFonts w:ascii="Helvetica Neue" w:hAnsi="Helvetica Neue"/>
      <w:color w:val="000000"/>
      <w:sz w:val="26"/>
    </w:rPr>
  </w:style>
  <w:style w:type="paragraph" w:styleId="BalloonText">
    <w:name w:val="Balloon Text"/>
    <w:basedOn w:val="Normal"/>
    <w:link w:val="BalloonTextChar"/>
    <w:uiPriority w:val="99"/>
    <w:semiHidden/>
    <w:unhideWhenUsed/>
    <w:rsid w:val="00344A2A"/>
    <w:pPr>
      <w:spacing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344A2A"/>
    <w:rPr>
      <w:color w:val="000000"/>
      <w:sz w:val="18"/>
      <w:szCs w:val="18"/>
    </w:rPr>
  </w:style>
  <w:style w:type="character" w:styleId="UnresolvedMention">
    <w:name w:val="Unresolved Mention"/>
    <w:basedOn w:val="DefaultParagraphFont"/>
    <w:uiPriority w:val="99"/>
    <w:semiHidden/>
    <w:unhideWhenUsed/>
    <w:rsid w:val="001B0F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lawsociety.org.uk/support-services/advice/articles/european-commission-list-of-high-risk-third-countries/"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lawsociety.org.uk/support-services/advice/articles/european-commission-list-of-high-risk-third-countri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8</Pages>
  <Words>1556</Words>
  <Characters>8875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972548765273</cp:lastModifiedBy>
  <cp:revision>4</cp:revision>
  <dcterms:created xsi:type="dcterms:W3CDTF">2020-02-18T12:42:00Z</dcterms:created>
  <dcterms:modified xsi:type="dcterms:W3CDTF">2020-04-12T06:43:00Z</dcterms:modified>
</cp:coreProperties>
</file>